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兴银理财天天万利宝稳利恒盈7号封闭式净值型理财产品第27期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兴银理财天天万利宝稳利恒盈7号封闭式净值型理财产品第27期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9N213270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351,214,707.17份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9N21327A：4.30%--4.50%/4.50%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稳利恒盈7号第27期2年封闭（纯盈款）A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351,214,707.17</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产品9N21327A自成立日以来，累计净值增长率为2.0910%，年化累计净值增长率为4.1255%。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358,558,702.34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358,558,702.34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21川华西MTN001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20,502,833.01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20,271,902.07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22昆山文商MTN001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20,221,086.06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23横店SCP001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20,116,447.32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19望城城投MTN001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15,974,537.59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19军融01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15,470,763.74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19抚州投资MTN004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15,342,401.23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15,324,367.68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15,178,452.33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21孝感01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15,163,445.89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兴银理财天天万利宝稳利恒盈7号封闭式净值型理财产品第27期2023年半年度报告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21董家口PPN002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22珠海港股MTN001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051010100101349702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兴银理财天天万利宝稳利恒盈7号封闭式净值型理财产品第27期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