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兴银理财天天万利宝稳利恒盈7号封闭式净值型理财产品第36期2023年半年度报告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兴银理财天天万利宝稳利恒盈7号封闭式净值型理财产品第36期</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兴银理财天天万利宝稳利恒盈7号封闭式净值型理财产品第36期2023年半年度报告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兴银理财天天万利宝稳利恒盈7号封闭式净值型理财产品第36期2023年半年度报告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兴银理财天天万利宝稳利恒盈7号封闭式净值型理财产品第36期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9N213360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Z7002022000030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1,380,684,514.15份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7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9N21336A：4.50%/4.50%</w:t>
              <w:br/>
              <w:t xml:space="preserve">  9N21336B：4.40%/4.40%</w:t>
              <w:br/>
              <w:t xml:space="preserve">  9N21336C：4.30%/4.30%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稳利恒盈7号第36期2年封闭（纯盈款）A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9N21336A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1,338,063,159.50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稳利恒盈7号第36期2年封闭（纯盈款）B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9N21336B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36,806,573.01</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兴银理财天天万利宝稳利恒盈7号封闭式净值型理财产品第36期2023年半年度报告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7"/>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稳利恒盈7号第36期2年封闭（纯盈款）C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9N21336C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5,814,781.64</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产品9N21336A自成立日以来，累计净值增长率为2.0080%，年化累计净值增长率为4.4964%。</w:t>
              <w:br/>
              <w:t xml:space="preserve">产品9N21336B自成立日以来，累计净值增长率为1.9620%，年化累计净值增长率为4.3934%。</w:t>
              <w:br/>
              <w:t xml:space="preserve">产品9N21336C自成立日以来，累计净值增长率为1.9170%，年化累计净值增长率为4.2927%。</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9N213360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1,408,381,304.63</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9N21336A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1,364,926,201.58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9N21336B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37,528,845.81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9N21336C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5,926,257.24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张宸先生，中山大学经济学硕士，7年资深投研经验，曾任职于广发银行股份有限公司、广发证券股份有限公司。2019年加入兴银理财有限责任公司，任固定收益投资部投资经理。投资经验丰富，产品业绩稳健，擅长宏观基本面研究、利率债交易以及信用债套利挖掘。</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一、2023年上半年投资策略与运作回顾</w:t>
              <w:b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兴银理财天天万利宝稳利恒盈7号封闭式净值型理财产品第36期2023年半年度报告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72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br/>
              <w:t xml:space="preserve">    上半年来看，收益率方面1年NCD、1年国债、10年国债、信用债3年AAA、3年AA+、3年AA分别变动-11bp、-22bp、-20bp、-39bp、-53bp、-58bp；信用利差方面3年AAA、3年AA+、3年AA分别变动-21bp、-35bp、-40bp。</w:t>
              <w:b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br/>
              <w:t xml:space="preserve">二、2023三季度投资策略展望</w:t>
              <w:b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br/>
              <w:t xml:space="preserve">    下阶段总体策略将更趋防守，以套息和杠杆策略为主，注重组合流动性，继续提升组合静态，同时积极把握债市调整形成的波段操作机会博取超额收益，提高组合收益率。</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1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兴银理财天天万利宝稳利恒盈7号封闭式净值型理财产品第36期2023年半年度报告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54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23伊犁财通01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201,052,045.90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23诸暨城乡01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200,926,500.86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23望源开发01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200,895,484.15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21晋能煤业PPN004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32,098,014.50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19盐城城南MTN003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31,167,755.38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21六合国资MTN001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30,869,883.17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20凤城河MTN001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30,840,024.95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21恒信G5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30,593,064.41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2.17</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兴银理财天天万利宝稳利恒盈7号封闭式净值型理财产品第36期2023年半年度报告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21厦国贸控MTN001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30,583,750.15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21宜兴城投PPN004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30,432,678.09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w:t>
                        </w:r>
                      </w:p>
                    </w:tc>
                  </w:tr>
                </w:tbl>
                <w:p>
                  <w:pPr>
                    <w:pStyle w:val="EMPTY_CELL_STYLE"/>
                  </w:pPr>
                </w:p>
              </w:tc>
            </w:tr>
          </w:tbl>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20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19盐城城南MTN003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20九龙江MTN001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21海鸿投资MTN001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21衡阳城投PPN004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21弘湘国投MTN001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21湖北港口MTN002(革命老区)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21淮安城资MTN003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21江北公用MTN003(可持续挂钩)</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21晋能电力MTN006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21厦国贸控MTN001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21兴资02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21宜兴城投PPN004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22电建地产PPN002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22淮安国联PPN001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22潞安MTN005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22南安市贸MTN001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22泉州文旅MTN002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22镇江交通MTN003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23即墨旅投03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16,090,000.00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兴银理财天天万利宝稳利恒盈7号封闭式净值型理财产品第36期2023年半年度报告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23望源开发01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23伊犁财通01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23诸暨城乡01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兴银理财天天万利宝稳利恒盈7号封闭式净值型理财产品第</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兴银理财天天万利宝稳利恒盈7号封闭式净值型理财产品第</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051010100101350677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兴银理财天天万利宝稳利恒盈7号封闭式净值型理财产品第36期</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5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