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兴银理财添利天天宝1号净值型理财产品2023年半年度报告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兴银理财添利天天宝1号净值型理财产品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兴银理财添利天天宝1号净值型理财产品2023年半年度报告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br/>
              <w:t xml:space="preserve">     7. 理财份额投资人信息</w:t>
              <w:br/>
              <w:t xml:space="preserve">     8. 影响理财份额投资人决策的其他重要信息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兴银理财添利天天宝1号净值型理财产品2023年半年度报告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兴银理财添利天天宝1号净值型理财产品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9TTB0001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Z7002022000002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3,276,435,250.24份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通知存款七天+浮动基数0%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firstLine="0"/>
              <w:spacing w:lineRule="exact" w:line="320" w:after="0" w:before="0"/>
            </w:pPr>
            <w:r>
              <w:rPr>
                <w:rFonts w:ascii="宋体" w:hAnsi="宋体" w:eastAsia="宋体" w:cs="宋体"/>
                <w:color w:val="000000"/>
                <w:sz w:val="21"/>
              </w:rPr>
              <w:t xml:space="preserve">报告期内，9TTB0001七日年化收益率均值2.4959%。同期业绩比较基准¹如下：</w:t>
            </w:r>
          </w:p>
        </w:tc>
        <w:tc>
          <w:tcPr>
     </w:tcPr>
          <w:p>
            <w:pPr>
              <w:pStyle w:val="EMPTY_CELL_STYLE"/>
            </w:pPr>
          </w:p>
        </w:tc>
      </w:tr>
      <w:tr>
        <w:trPr>
          <w:trHeight w:hRule="exact" w:val="1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800"/>
        <w:gridCol w:w="600"/>
        <w:gridCol w:w="2000"/>
        <w:gridCol w:w="2000"/>
        <w:gridCol w:w="800"/>
        <w:gridCol w:w="2400"/>
        <w:gridCol w:w="1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兴银理财添利天天宝1号净值型理财产品2023年半年度报告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8"/>
            <w:tcMar>
              <w:top w:w="0" w:type="dxa"/>
              <w:left w:w="0" w:type="dxa"/>
              <w:bottom w:w="0" w:type="dxa"/>
              <w:right w:w="0" w:type="dxa"/>
            </w:tcMar>
          </w:tcPr>
          <w:tbl>
            <w:tblPr>
              <w:tblLayout w:type="fixed"/>
            </w:tblPr>
            <w:tblGrid>
              <w:gridCol w:w="2000"/>
              <w:gridCol w:w="4000"/>
              <w:gridCol w:w="4800"/>
            </w:tblGrid>
            <w:tr>
              <w:trPr>
                <w:trHeight w:hRule="exact" w:val="600"/>
              </w:trPr>
              <w:tc>
                <w:tcPr>
                  <w:shd w:val="clear" w:color="auto" w:fill="AFAFA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销售代码</w:t>
                        </w:r>
                      </w:p>
                    </w:tc>
                    <w:tc>
                      <w:tcPr>
     </w:tcPr>
                      <w:p>
                        <w:pPr>
                          <w:pStyle w:val="EMPTY_CELL_STYLE"/>
                        </w:pP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适用期间</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800"/>
                    <w:gridCol w:w="48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业绩比较基准</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9TTB0001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2023-01-01至2023-06-30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800"/>
                    <w:gridCol w:w="48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rPr>
              <w:t xml:space="preserve">报告期末，产品收益具体如下：</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万份收益</w:t>
            </w:r>
          </w:p>
        </w:tc>
        <w:tc>
          <w:tcPr>
            <w:gridSpan w:val="2"/>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七日年化收益率</w:t>
            </w: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0.6462</w:t>
            </w: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2.4140%</w:t>
            </w: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3,276,435,250.24</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陈施颖女士，清华大学理学学士、金融学硕士，中级经济师，10年固定收益市场投资交易经验。2013年加入兴业银行，历任货币市场交易员、债券投资经理、理财产品组合投资经理，2020年加入兴银理财，担任现金管理投资经理，善于大组合的资产配置和流动性管理。现任“兴业银行金雪球添利快线净值型理财产品”、兴业银行-添利1号”净值型理财产品、兴业银行现金宝（1号）人民币理财计划、添利天天宝系列、兴银理财日盈增利4号理财产品投资经理。</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9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 宏观经济及市场情况</w:t>
              <w:br/>
              <w:t xml:space="preserve">    二季度受去年同期低基数影响，经济数据表现同比尚可，但随着场景修复和积压需求拉动的复苏动能在一季度逐步兑现，补偿性增长渐入尾声，经济环比修复速度放缓。4月公布的宏观经济数据不及预期，叠加地产销售数据、票据转贴利率等核心高频指标大幅回落，进一步印证经济弱修复格局，债市走牛，利率整体处于下行区间 。5月存款利率下调加上资金面转松，打开中短端下行窗口，曲线从牛平转为牛陡。6月央行降息落地，市场开始交易稳增长预期，利率波动加大。二季度10年国债收益率从2.86%一路下破2.6%，随后回到2.65%-2.7%区间震荡。</w:t>
              <w:br/>
              <w:t xml:space="preserve">    展望后市，当前经济各分项整体边际改善企稳，逐步呈现筑底特征，但向上动能依然偏弱，政策必要性上升。 下半年，地产和私人部门信心问题依然存在，随着PPI和库存周期见底，补库需求或将提振工业生产，但低迷的终端需求下向上弹性有限。经济自发修复力量不足，基建等逆周期分项有待增量准财政工具提供资金支持，政策必要性上升，但高质量发展主题下对政策的领域和力度不宜过度期待。二季度货币政策例会重申“内生驱动还不强，需求驱动仍不足”，要“加大宏观政策调控力度，精准有力实施稳健的货币政策”。短期内受限于外围环境和政策定力难言超预期宽松，关注三季度超储季节性回落后是否有降准可能性。</w:t>
              <w:br/>
              <w:t xml:space="preserve">二 前期运作回顾</w:t>
              <w:br/>
              <w:t xml:space="preserve">    报告期内，本产品始终将保持流动性安全和防范信用风险作为第一要务，在此基础上通过稳健的投资风格实现相对稳定的收益。我们根据产品负债变化和市场情况适时调整投资策略和建仓节奏，信用债等票息资产稳步建仓、NCD逢高建仓，在保证组合流动性安全的前提下积极把握市场调整的买入机会</w:t>
              <w:br/>
              <w:t xml:space="preserve">三 后期投资策略</w:t>
              <w:br/>
              <w:t xml:space="preserve">    当前从短端绝对收益率水平和信用利差角度来讲，配置价值均有所弱化，但基本面钝化下受理财短期化供需格局和资金面宽松影响，品种和期限利差不排除进一步压缩的可能。三季度，本产品仍然会坚持以安全性和流动性优先、兼顾收益性的稳健策略，综合考量各类资产的风险收益特征，根据市场情况灵活把握投资节奏。结合负债端情况提前布局产品流动性，保障产品运作安全。同时，我们会按照《关于规范现金管理类理财产品管理有关事项的通</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兴银理财添利天天宝1号净值型理财产品2023年半年度报告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知》的相关要求，持续动态监控产品投资组合，保障产品合规、平稳地运作。</w:t>
            </w: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8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报告期末本产品总资产未超过该产品净资产规模的120%，符合产品协议对本产品杠杆比例的要求。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兴银理财添利天天宝1号净值型理财产品2023年半年度报告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定期存款20230131012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303,537,123.66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Z存放同业（线上）20230201008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151,581,249.91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23CSFD111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120,772,273.97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Z存放同业（线上）20221201005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101,560,555.32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23CSFD46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101,374,243.37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Z存放同业（线上）20230110009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101,251,778.16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Z存放同业（线上）20230206008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101,039,167.15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农业银行上海分行活期存款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84,102,902.05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Z存放同业（线上）20230414002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80,468,000.00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Z存放同业（线上）20230628001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66,013,035.00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6000"/>
        </w:trPr>
        <w:tc>
          <w:tcPr>
     </w:tcPr>
          <w:p>
            <w:pPr>
              <w:pStyle w:val="EMPTY_CELL_STYLE"/>
            </w:pPr>
          </w:p>
        </w:tc>
        <w:tc>
          <w:tcPr>
            <w:gridSpan w:val="5"/>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18青城03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13,300,000.00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20常城建PPN002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20川交投MTN001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20江宁国资PPN001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20兴信02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16,670,000.00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20浙国贸MTN001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21晋能电力MTN009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22常城建SCP012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22常德城投SCP003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13,300,000.00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00"/>
        <w:gridCol w:w="2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兴银理财添利天天宝1号净值型理财产品2023年半年度报告</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22辽成大CP002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22四川路桥CP002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22厦路桥SCP007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22象屿SCP009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22悦汇ABN003优先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23即墨城投CP001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兴银理财添利天天宝1号净值型理财产品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快赎垫资服务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兴银理财添利天天宝1号净值型理财产品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051010100101332615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兴银理财添利天天宝1号净值型理财产品</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8"/>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7.理财份额投资人信息</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8"/>
            <w:tcMar>
              <w:top w:w="0" w:type="dxa"/>
              <w:left w:w="0" w:type="dxa"/>
              <w:bottom w:w="0" w:type="dxa"/>
              <w:right w:w="0" w:type="dxa"/>
            </w:tcMar>
            <w:vAlign w:val="center"/>
          </w:tcPr>
          <w:p>
            <w:pPr>
              <w:ind/>
              <w:jc w:val="left"/>
            </w:pPr>
            <w:r>
              <w:rPr>
                <w:rFonts w:ascii="宋体" w:hAnsi="宋体" w:eastAsia="宋体" w:cs="宋体"/>
                <w:color w:val="000000"/>
                <w:sz w:val="20"/>
              </w:rPr>
              <w:t xml:space="preserve"> 7.1期末现金管理类产品前十大份额投资人情况</w:t>
            </w:r>
          </w:p>
        </w:tc>
        <w:tc>
          <w:tcPr>
     </w:tcPr>
          <w:p>
            <w:pPr>
              <w:pStyle w:val="EMPTY_CELL_STYLE"/>
            </w:pPr>
          </w:p>
        </w:tc>
      </w:tr>
      <w:tr>
        <w:trPr>
          <w:trHeight w:hRule="exact" w:val="3000"/>
        </w:trPr>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400"/>
              <w:gridCol w:w="3200"/>
              <w:gridCol w:w="3200"/>
              <w:gridCol w:w="3000"/>
            </w:tblGrid>
            <w:tr>
              <w:trPr>
                <w:trHeight w:hRule="exact" w:val="600"/>
              </w:trPr>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投资者类别</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持有份额（份）</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占总份额占比（%）</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20,249.52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16,901.33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16,661.21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10,328.07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0.0003</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140"/>
        <w:gridCol w:w="16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兴银理财添利天天宝1号净值型理财产品2023年半年度报告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tcMar>
              <w:top w:w="0" w:type="dxa"/>
              <w:left w:w="0" w:type="dxa"/>
              <w:bottom w:w="0" w:type="dxa"/>
              <w:right w:w="0" w:type="dxa"/>
            </w:tcMar>
          </w:tcPr>
          <w:tbl>
            <w:tblPr>
              <w:tblLayout w:type="fixed"/>
            </w:tblPr>
            <w:tblGrid>
              <w:gridCol w:w="1400"/>
              <w:gridCol w:w="3200"/>
              <w:gridCol w:w="3200"/>
              <w:gridCol w:w="30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10,327.36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10,327.36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10,327.36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10,327.36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10,327.36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10,327.36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0.0003</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8.影响理财份额投资人决策的其他重要信息</w:t>
            </w: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0"/>
              </w:rPr>
              <w:t xml:space="preserve"> 8.1报告期内单一投资者持有产品份额达到或者超过该产品总份额20%的情形</w:t>
            </w:r>
          </w:p>
        </w:tc>
        <w:tc>
          <w:tcPr>
     </w:tcPr>
          <w:p>
            <w:pPr>
              <w:pStyle w:val="EMPTY_CELL_STYLE"/>
            </w:pPr>
          </w:p>
        </w:tc>
      </w:tr>
      <w:tr>
        <w:trPr>
          <w:trHeight w:hRule="exact" w:val="600"/>
        </w:trPr>
        <w:tc>
          <w:tcPr>
     </w:tcPr>
          <w:p>
            <w:pPr>
              <w:pStyle w:val="EMPTY_CELL_STYLE"/>
            </w:pPr>
          </w:p>
        </w:tc>
        <w:tc>
          <w:tcPr>
            <w:gridSpan w:val="7"/>
            <w:tcMar>
              <w:top w:w="0" w:type="dxa"/>
              <w:left w:w="0" w:type="dxa"/>
              <w:bottom w:w="0" w:type="dxa"/>
              <w:right w:w="0" w:type="dxa"/>
            </w:tcMar>
          </w:tcPr>
          <w:tbl>
            <w:tblPr>
              <w:tblLayout w:type="fixed"/>
            </w:tblPr>
            <w:tblGrid>
              <w:gridCol w:w="11000"/>
              <w:gridCol w:w="11000"/>
            </w:tblGrid>
            <w:tr>
              <w:trPr>
                <w:trHeight w:hRule="exact" w:val="600"/>
              </w:trPr>
              <w:tc>
                <w:tcPr>
                  <w:shd w:val="clear" w:color="auto" w:fill="FFFFFF"/>
                  <w:tcMar>
                    <w:top w:w="0" w:type="dxa"/>
                    <w:left w:w="0" w:type="dxa"/>
                    <w:bottom w:w="0" w:type="dxa"/>
                    <w:right w:w="0" w:type="dxa"/>
                  </w:tcMar>
                </w:tcPr>
                <w:tbl>
                  <w:tblPr>
                    <w:tblLayout w:type="fixed"/>
                  </w:tblPr>
                  <w:tblGrid>
                    <w:gridCol w:w="11000"/>
                    <w:gridCol w:w="11000"/>
                  </w:tblGrid>
                  <w:tr>
                    <w:trPr>
                      <w:trHeight w:hRule="atLeast" w:val="600"/>
                    </w:trPr>
                    <w:tc>
                      <w:tcPr>
                        <w:tcMar>
                          <w:top w:w="0" w:type="dxa"/>
                          <w:left w:w="0" w:type="dxa"/>
                          <w:bottom w:w="0" w:type="dxa"/>
                          <w:right w:w="0" w:type="dxa"/>
                        </w:tcMar>
                        <w:vAlign w:val="center"/>
                      </w:tcPr>
                      <w:p>
                        <w:pPr>
                          <w:ind/>
                          <w:jc w:val="left"/>
                        </w:pPr>
                        <w:r>
                          <w:rPr>
                            <w:rFonts w:ascii="宋体" w:hAnsi="宋体" w:eastAsia="宋体" w:cs="宋体"/>
                            <w:color w:val="000000"/>
                            <w:sz w:val="21"/>
                          </w:rPr>
                          <w:t xml:space="preserve">    本产品本报告期无单一投资者持有产品份额达到或者超过该产品总份额20%的情形。</w:t>
                        </w:r>
                      </w:p>
                    </w:tc>
                  </w:tr>
                </w:tbl>
                <w:p>
                  <w:pPr>
                    <w:pStyle w:val="EMPTY_CELL_STYLE"/>
                  </w:pPr>
                </w:p>
              </w:tc>
            </w:tr>
          </w:tbl>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c>
          <w:tcPr>
     </w:tcPr>
          <w:p>
            <w:pPr>
              <w:pStyle w:val="EMPTY_CELL_STYLE"/>
            </w:pPr>
          </w:p>
        </w:tc>
      </w:tr>
      <w:tr>
        <w:trPr>
          <w:trHeight w:hRule="exact" w:val="7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3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