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3,267,715,863.60份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报告期内，9TTB0005七日年化收益率均值2.4961%。同期业绩比较基准¹如下：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0.6461</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3,267,715,863.60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74,518,601.36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16,901.38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