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兴银理财万汇通2号E款美元净值型理财产品2023年半年度报告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兴银理财万汇通2号E款美元净值型理财产品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兴银理财万汇通2号E款美元净值型理财产品2023年半年度报告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兴银理财万汇通2号E款美元净值型理财产品2023年半年度报告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兴银理财万汇通2号E款美元净值型理财产品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9W210250</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Z7002021000041</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17,057,710.47份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美元</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9W21025A：1.50%--2.00%/2.00%</w:t>
              <w:br/>
              <w:t xml:space="preserve">  9W21025B：1.55%--2.05%/2.05%</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万汇通汇盈2号E款A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9W21025A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12,037,659.73</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万汇通汇盈2号E款B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9W21025B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5,020,050.74</w:t>
                        </w:r>
                      </w:p>
                    </w:tc>
                  </w:tr>
                </w:tbl>
                <w:p>
                  <w:pPr>
                    <w:pStyle w:val="EMPTY_CELL_STYLE"/>
                  </w:pPr>
                </w:p>
              </w:tc>
            </w:tr>
          </w:tbl>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兴银理财万汇通2号E款美元净值型理财产品2023年半年度报告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产品9W21025A自成立日以来，累计净值增长率为-3.2830%，年化累计净值增长率为-2.0072%。</w:t>
              <w:br/>
              <w:t xml:space="preserve">产品9W21025B自成立日以来，累计净值增长率为-3.2040%，年化累计净值增长率为-1.9589%。</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9W210250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0.96740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0.96740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16,501,657.88</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9W21025A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0.96717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0.96717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11,642,469.72</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9W21025B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0.96796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0.96796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4,859,188.16</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余洁雅，北京师范大学经济学硕士，15年金融业从业经验，曾就职于中国人民银行上海总部金融市场管理部、中国建设银行（亚洲）资金部，拥有9年多的金融市场监管经验和近6年的境外市场外币债券投资和交易经验。2020年12月加入兴银理财有限责任公司，任外币理财产品投资经理，擅长把握境内外宏观经济形势和市场走势，结合对中资企业信用的深入研究，主动管理，收益和风险并重，追求持续稳定回报。</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第二季度美国国债收益率经历了大幅度的波动，主要受美国通胀率持续突破市场预期的影响，美联储加息的节奏延长，同时市场对美国经济的韧性和衰退可能性分歧加大。预期的反复，推动美国国债收益率在4月大幅下跌到阶段性低位后又大幅反弹，再次回到年内高位。同时收益率曲线的倒挂持续，未有改善趋势。但是中资美元债市场情绪整体稳定，整体来说，市场供给仍少，市场流动性依旧低迷。但二季度以来一级市场发行有所回暖，特别在自贸区人民币债券发行降温后，中资美元债一级发行量进一步增加。在一级市场的带动下，二级市场交易情绪也略有回升，但仍清淡。随着美元短端收益率的进一步上行，短期存款及短端的货币市场工具成为美元市场的热门资产。目前产品主要投资中资美元债及美元存款，二季度以来净值整体稳步回升。展望后市，第三季度美联储进一步加息概率仍较大，短期美联储政策转向机会小，因此产品继续持有大量短期限高收益美元债资产，搭配一定比率的低波资产，以希望获取较好收益率同时保持较小波动。</w:t>
            </w: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兴银理财万汇通2号E款美元净值型理财产品2023年半年度报告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代客境外理财投资QDII</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兴银理财万汇通2号E款美元净值型理财产品2023年半年度报告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1,604,376.00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QDHTCO2.9803/04/24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1,323,816.75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BCHINA5.509/01/23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1,031,158.89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CONSON2.811/04/23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992,508.89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GEELZ303/05/25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951,526.67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CHADEC311/04/23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803,800.00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JINCHU402/10/24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798,869.33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CQNANA4.207/07/24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791,616.00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JNUCGC2.409/23/26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780,706.10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SXUCI21/208/19/26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726,685.33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4.40</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CDHIIN2.710/28/26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CQNANA4.207/07/24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EASTMO212/02/24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HUXJDP2.6510/27/26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JINCHU402/10/24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JNUCGC2.409/23/26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870,000.00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NBHSDC2.212/02/24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PHSOAH2.209/24/24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兴银理财万汇通2号E款美元净值型理财产品2023年半年度报告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SDGOLD2.408/25/24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YTGFIH2.212/09/24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ZZCITY4.603/29/25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兴银理财万汇通2号E款美元净值型理财产品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兴银理财万汇通2号E款美元净值型理财产品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216201400100273510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兴银理财万汇通2号E款美元净值型理财产品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4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