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兴银理财万汇通2号I款美元净值型理财产品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兴银理财万汇通2号I款美元净值型理财产品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2,636,538.84份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9W21029A：2.00%--2.70%/2.70%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万汇通汇盈2号I款A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2,636,538.84</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产品9W21029A自成立日以来，累计净值增长率为0.2360%，年化累计净值增长率为0.1944%。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2,642,757.22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2,642,757.22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236,037.50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HZCONI3.1507/30/23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222,273.15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209,335.87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201,702.33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200,968.78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200,547.00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196,708.83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196,121.00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193,577.33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兴银理财万汇通2号I款美元净值型理财产品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兴银理财万汇通2号I款美元净值型理财产品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216201400100276913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兴银理财万汇通2号I款美元净值型理财产品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