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兴银理财添利万利宝1号净值型理财产品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兴银理财添利万利宝1号净值型理财产品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9WLB0001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137,768,131.21份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3.85%--4.45%/4.45%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产品9WLB0001自成立日以来，累计净值增长率为2.4130%，年化累计净值增长率为5.3378%。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1.02413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1.02413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141,092,295.82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优先、兼顾收益性的稳健策略，综合考量各类资产的风险收益特征，根据市场情况灵活把握投资节奏，保障产品运作安全。</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13,133,226.67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13,123,795.08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13,088,771.30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13,082,740.01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21滨建G1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12,483,391.89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19黄发01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12,403,881.04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12,346,836.00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12,336,922.68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12,264,246.57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12,261,400.27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051010100101309063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