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兴银理财安愉五年封闭3号固收类养老理财产品2023年半年度报告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兴银理财安愉五年封闭3号固收类养老理财产品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理财产品托管人：中国工商银行股份有限公司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兴银理财安愉五年封闭3号固收类养老理财产品2023年半年度报告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兴银理财安愉五年封闭3号固收类养老理财产品2023年半年度报告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兴银理财安愉五年封闭3号固收类养老理财产品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9YL00003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Z7002022000673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157,460,692.48份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中国工商银行股份有限公司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9YL0003A：5.00%--8.00%/--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兴银安愉3号养老理财A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9YL0003A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157,460,692.48</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兴银理财安愉五年封闭3号固收类养老理财产品2023年半年度报告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产品9YL0003A自成立日以来，累计净值增长率为1.2260%，年化累计净值增长率为2.7453%。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9YL00003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159,391,097.41</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9YL0003A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159,391,097.41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陈彦璋，数学金融硕士，先后任职于国内外知名资管机构，具备8年大类资产配置、权益类资产投研经验，擅长低波固收+产品管理。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整体采用动态CPPI策略，在可控的风险预算内逐步增加风险资产占比，严格控制产品波动以达成产品收益目标，运作过程中动态比较各类资产性价比，战术性调整相关资产比例。固收资产部分，二季度管理人发挥专业能力，抓住市场对基本面强预期的错误定价，适度应用久期策略、杠杆策略，较好的获得债券市场阶段性行情的利得收益。权益资产部分，疫情带来的疤痕效应，导致疫后脉冲式复苏后，企业、居民等微观内生需求不足，上半年全A盈利修复不及预期，同时，国内外的金融环境和风险事件反复扰动国内市场估值定价，因此二季度国内权益市场机会有限，整体呈现较为极致的结构性行情；管理人有效控制风险暴露，在市场低位择机加仓，为产品持有更好地锁定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兴银理财安愉五年封闭3号固收类养老理财产品2023年半年度报告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兴银理财安愉五年封闭3号固收类养老理财产品2023年半年度报告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23柯桥建设10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15,085,515.66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23雨花城投05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15,040,443.20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中信信托·兴银6号赣州城投贷款集合资金信托计划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15,023,269.20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23建德国资03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15,004,029.76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14,296,533.01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鹏华丰恒债券型证券投资基金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13,951,601.45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鹏华丰腾债券型证券投资基金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10,044,714.07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泰康-元康2号资产支持计划第8期优先A2级受益凭证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8,501,322.79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招商招坤纯债债券型证券投资基金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8,128,517.60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易方达中债新综合债券指数发起式证券投资基金(LOF)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7,020,431.76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23建德国资03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23柯桥建设10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23雨花城投05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兴银理财安愉五年封闭3号固收类养老理财产品2023年半年度报告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4000021429201996688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中国工商银行深圳市分行-兴银安愉五年封闭3号养老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