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兴银理财财智人生灵动1号A款净值型理财产品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兴银理财财智人生灵动1号A款净值型理财产品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9K211010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536,744,263.97份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无</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产品9K211010自起息日以来，累计净值增长率为2.8540%，年化累计净值增长率为4.2519%。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1.02854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1.02854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552,063,768.74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稳步对固收仓位进行调整，增加高收益流动性资产比例。积极把握衍生品机会，努力增厚收益。</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10"/>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兴业期货-财智人生灵动1号单一资产管理计划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33,863,843.57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19大横琴MTN001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19豫水利MTN001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20曲控一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21沿江01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兴银理财财智人生灵动1号A款净值型理财产品2021年第一季度报告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9K211010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20芙蓉城投MTN001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051010100101068813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兴银理财财智人生灵动1号A款净值型理财产品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