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兴银理财安愉乐享3号净值型理财产品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639,585,874.14份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业绩报酬计提起点   5.10%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安愉乐享3号A（业绩报酬计提起点5.1%）</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278,948,917.44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安愉乐享3号B（业绩报酬计提起点5.1%）</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360,636,956.70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产品9K212005自起息日以来，累计净值增长率为0.7180%，年化累计净值增长率为2.2209%。</w:t>
              <w:br/>
              <w:t xml:space="preserve">产品9K212105自起息日以来，累计净值增长率为0.6860%，年化累计净值增长率为2.1219%。</w:t>
              <w:br/>
              <w:t xml:space="preserve">产品9K212205自起息日以来，累计净值增长率为0.7430%，年化累计净值增长率为2.2983%。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644,176,407.98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280,861,291.35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363,315,116.63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多资产多策略投资，避免单一资产和单一策略收益不稳定的情况，目标在各类市场状况下都能获取稳健的投资策略。一方面密切关注股票、债券、商品及其他市场的运行状况与风险收益特征，综合分析宏观经济基本面、政策面、流动性、估值与供求等因素，判断金融市场运行趋势和不同资产类别的相对投资价值，对各大类资产的风险收益特征进行评估，在符合本产品相关投资比例规定的前提下，确定各类属资产的配置比例，并依据各因素的动态变化进行及时调整；另一方面在大类资产配置的同时，还会叠加多种投资策略增强收益、降低回撤，使得产品能够适应各类市场状况，给投资者提供稳定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[厦门信托-盐城城投信托贷款]单一资金信托（南京分行）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88,817,834.62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20江苏银行CD143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7.76</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兴银理财安愉乐享3号净值型理财产品2021年第一季度报告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21,404,311.03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26,583,074.88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20曲控一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20滇池投资PPN001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