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15,678,161,967.8份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12,442,806,132.30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3,235,355,835.50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产品9K212051自起息日以来，累计净值增长率为1.9150%，年化累计净值增长率为3.4603%。</w:t>
              <w:br/>
              <w:t xml:space="preserve">产品9K212151自起息日以来，累计净值增长率为1.9040%，年化累计净值增长率为3.4404%。</w:t>
              <w:br/>
              <w:t xml:space="preserve">产品9K212251自起息日以来，累计净值增长率为1.9600%，年化累计净值增长率为3.5416%。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15,978,435,069.74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12,679,680,940.10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3,298,754,129.64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b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一季度，经济基本面继续修复，海内外需求共振向上。货币政策边际收紧，但维持稳定。全球疫情得到控制后，全球流动性及对华政策重回视野。资本市场走势如去年四季度预判，A股出现倒V走势，抱团股在疯狂后出现瓦解。债券市场则出现U形走势，抢跑下半年行情意味渐浓。本报告期内，本组合积极对权益资产择机做了对冲并做好了行业均衡，避免了较大的波动。同时本组合根据债券市场期限结构及各利差变化情况，在控制整体久期及信用风险的前提下，积极主动择优配置各类债券类属子资产。</w:t>
              <w:br/>
              <w:t xml:space="preserve">    展望二季度，在美国超量规模的刺激政策及疫苗的普及后，海内外需求共振期可能延长，导致经济基本面可能超预期，所谓经济顶还将延续。在供给缺口增大的情况下，通胀风险上升。货币政策相机抉择而缓慢转弯。考虑到目前的股债风险溢价率及股债分别的估值情况，未来短期有利权益而存在反弹可能，有利商品价格上涨，长期有利于债券类资产。本组合将积极主动管理好大类资产的配置策略并精细化选择类属资产。</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907,605,736.07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749,554,951.75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云南省投资控股集团有限公司股票收益权转让及回购业务（兴隆3号）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569,746,462.82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20民生银行CD436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Z吉-同业借款20210323001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20成华旧城MTN001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19市北高新PPN002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