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兴业银行天天万汇通2020年第45期净值型理财(私行专属）</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兴业银行天天万汇通2020年第45期净值型理财(私行专属）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C1030920000440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10,000,000.00份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产品92120045自起息日以来，累计净值增长率为0.6360%，年化累计净值增长率为1.2348%。</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1.00636</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1.00636</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10,063,624.84</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二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存放同业202000901002S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9,989,544.28</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99.26</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051011400100010701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兴业银行天天万汇通2020年第45期净值型理财产品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