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兴业银行天天万汇通2020年第41期净值型理财私行专属</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兴业银行天天万汇通2020年第41期净值型理财私行专属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92120410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5,490,300.00份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产品92120410自起息日以来，累计净值增长率为0.6920%，年化累计净值增长率为1.2321%。</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1.00692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1.00692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5,528,272.15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5,488,624.44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99.28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051011400100010325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兴业银行天天万汇通2020年第41期净值型理财产品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