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15,678,161,967.8份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12,442,806,132.30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3,235,355,835.50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产品9K212151自起息日以来，累计净值增长率为3.5680%，年化累计净值增长率为4.4448%。</w:t>
              <w:br/>
              <w:t xml:space="preserve">产品9K212251自起息日以来，累计净值增长率为3.6500%，年化累计净值增长率为4.5469%。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16,240,214,088.13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12,886,752,318.04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3,353,461,770.09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第二季度，国内经济基本面继续修复，但动能有所减弱。海外经济落后我国一个季度左右而相继复苏。全球疫情得到控制后，全球流动性及供需缺口的修复成为市场关注焦点。国内货币政策则略超预期，维持稳定。资本市场走势如一季度预判，A股震荡反弹走势，同时结构性行情特征明显。债券市场则在超预期的货币政策下继续震荡走高。本报告期内，本组合积极对权益资产择机做多并做好了行业均衡，避免了较大的波动。同时本组合根据债券市场期限结构及各利差变化情况，在控制整体久期及信用风险的前提下，积极主动择优配置各类债券类属子资产。</w:t>
              <w:br/>
              <w:t xml:space="preserve">    展望三季度，国内整体经济复苏依然脆弱，总需求复苏缓慢，价格传达不通畅，预计货币政策易松难紧。海外供需缺口进一步缩小，但疫情对全球的影响时间将延长，意味着复苏都比较脆弱且缓慢。据此判断，海内外的货币政策短中期来看都不会大幅收紧，继续有利于各类资产表现。影响股价的可能是各行业的盈利增速，则行业差异及轮动的可能性更大了。叠加考虑到目前的股债风险溢价率及股债分别的估值情况，未来权益存在更多结构性轮动的机会，债券依然可能震荡上行但空间有限，商品价格可能见顶。本组合将积极主动管理好大类资产的配置策略并精</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907,605,736.07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749,554,951.75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云南省投资控股集团有限公司股票收益权转让及回购业务（兴隆3号）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649,895,073.45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569,746,462.82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599,990,001.00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20九龙江MTN001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21赣铁航MTN001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20成华旧城MTN001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