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兴银理财和鑫财富优享2021年第1期净值型理财产品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产品9K213101自起息日以来，累计净值增长率为1.6180%，年化累计净值增长率为3.7857%。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1.01618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1.01618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304,852,691.85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Z京-同业借款20210126001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兴银理财和鑫财富优享2021年第1期净值型理财产品2021年第二季度报告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051010100101152191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