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兴银理财和鑫财富优享2021年第4期净值型理财产品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兴银理财和鑫财富优享2021年第4期净值型理财产品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产品9K213104自起息日以来，累计净值增长率为1.5000%，年化累计净值增长率为3.7245%。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1.01500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2,030,003,735.12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21CSFD30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98.52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兴银理财和鑫财富优享2021年第4期净值型理财产品2021年第二季度报告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051010100101152465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兴银理财和鑫财富优享2021年第4期净值型理财产品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