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1"/>
        <w:gridCol w:w="3020"/>
        <w:gridCol w:w="380"/>
        <w:gridCol w:w="2000"/>
        <w:gridCol w:w="2000"/>
        <w:gridCol w:w="2620"/>
        <w:gridCol w:w="680"/>
        <w:gridCol w:w="1"/>
      </w:tblGrid>
      <w:tr>
        <w:trPr>
          <w:trHeight w:hRule="exact" w:val="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兴业银行天天万汇通2020年第46期净值型理财2021年半年度报告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9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3020"/>
        </w:trPr>
        <w:tc>
          <w:tcPr>
     </w:tcPr>
          <w:p>
            <w:pPr>
              <w:pStyle w:val="EMPTY_CELL_STYLE"/>
            </w:pPr>
          </w:p>
        </w:tc>
        <w:tc>
          <w:tcPr>
            <w:gridSpan w:val="6"/>
            <w:tcMar>
              <w:top w:w="0" w:type="dxa"/>
              <w:left w:w="0" w:type="dxa"/>
              <w:bottom w:w="0" w:type="dxa"/>
              <w:right w:w="0" w:type="dxa"/>
            </w:tcMar>
            <w:vAlign w:val="center"/>
          </w:tcPr>
          <w:p>
            <w:pPr>
              <w:ind/>
              <w:jc w:val="center"/>
              <w:spacing w:lineRule="auto" w:line="360" w:after="0" w:before="0"/>
            </w:pPr>
            <w:r>
              <w:rPr>
                <w:rFonts w:ascii="宋体" w:hAnsi="宋体" w:eastAsia="宋体" w:cs="宋体"/>
                <w:color w:val="000000"/>
                <w:sz w:val="32"/>
                <w:b w:val="true"/>
              </w:rPr>
              <w:t xml:space="preserve">兴业银行天天万汇通2020年第46期净值型理财</w:t>
              <w:br/>
              <w:t xml:space="preserve">2021年半年度报告</w:t>
            </w:r>
          </w:p>
        </w:tc>
        <w:tc>
          <w:tcPr>
     </w:tcPr>
          <w:p>
            <w:pPr>
              <w:pStyle w:val="EMPTY_CELL_STYLE"/>
            </w:pPr>
          </w:p>
        </w:tc>
      </w:tr>
      <w:tr>
        <w:trPr>
          <w:trHeight w:hRule="exact" w:val="6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理财产品管理人：兴业银行股份有限公司</w:t>
            </w: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理财产品托管人：兴业银行股份有限公司</w:t>
            </w: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报告送出日期：2021年9月23日</w:t>
            </w:r>
          </w:p>
        </w:tc>
        <w:tc>
          <w:tcPr>
     </w:tcPr>
          <w:p>
            <w:pPr>
              <w:pStyle w:val="EMPTY_CELL_STYLE"/>
            </w:pPr>
          </w:p>
        </w:tc>
        <w:tc>
          <w:tcPr>
     </w:tcPr>
          <w:p>
            <w:pPr>
              <w:pStyle w:val="EMPTY_CELL_STYLE"/>
            </w:pPr>
          </w:p>
        </w:tc>
      </w:tr>
      <w:tr>
        <w:trPr>
          <w:trHeight w:hRule="exact" w:val="2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1/</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100"/>
        <w:gridCol w:w="3300"/>
        <w:gridCol w:w="1000"/>
        <w:gridCol w:w="1000"/>
        <w:gridCol w:w="1000"/>
        <w:gridCol w:w="1000"/>
        <w:gridCol w:w="3100"/>
        <w:gridCol w:w="20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8"/>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兴业银行天天万汇通2020年第46期净值型理财2021年半年度报告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宋体" w:hAnsi="宋体" w:eastAsia="宋体" w:cs="宋体"/>
                <w:color w:val="000000"/>
                <w:sz w:val="30"/>
                <w:b w:val="true"/>
              </w:rPr>
              <w:t xml:space="preserve">目  录</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left"/>
              <w:spacing w:lineRule="auto" w:line="336" w:after="0" w:before="0"/>
            </w:pPr>
            <w:r>
              <w:rPr>
                <w:rFonts w:ascii="宋体" w:hAnsi="宋体" w:eastAsia="宋体" w:cs="宋体"/>
                <w:color w:val="000000"/>
                <w:sz w:val="21"/>
              </w:rPr>
              <w:t xml:space="preserve">§ 一. 重要提示</w:t>
              <w:br/>
              <w:t xml:space="preserve">§ 二. 产品基本信息</w:t>
              <w:br/>
              <w:t xml:space="preserve">§ 三. 产品收益表现</w:t>
              <w:br/>
              <w:t xml:space="preserve">§ 四. 产品投资经理简介</w:t>
              <w:br/>
              <w:t xml:space="preserve">§ 五. 报告期内产品投资策略</w:t>
              <w:br/>
              <w:t xml:space="preserve">§ 六. 理财托管机构报告</w:t>
              <w:br/>
              <w:t xml:space="preserve">§ 七. 投资组合情况</w:t>
              <w:br/>
              <w:t xml:space="preserve">     1. 报告期末资产组合情况</w:t>
              <w:br/>
              <w:t xml:space="preserve">     2. 报告期末杠杆融资情况</w:t>
              <w:br/>
              <w:t xml:space="preserve">     3. 投资组合的流动性风险分析</w:t>
              <w:br/>
              <w:t xml:space="preserve">     4. 报告期末资产持仓前十基本信息</w:t>
              <w:br/>
              <w:t xml:space="preserve">     5. 报告期间关联交易情况</w:t>
              <w:br/>
              <w:t xml:space="preserve">     6. 投资账户信息</w:t>
            </w:r>
          </w:p>
        </w:tc>
        <w:tc>
          <w:tcPr>
     </w:tcPr>
          <w:p>
            <w:pPr>
              <w:pStyle w:val="EMPTY_CELL_STYLE"/>
            </w:pPr>
          </w:p>
        </w:tc>
        <w:tc>
          <w:tcPr>
     </w:tcPr>
          <w:p>
            <w:pPr>
              <w:pStyle w:val="EMPTY_CELL_STYLE"/>
            </w:pPr>
          </w:p>
        </w:tc>
      </w:tr>
      <w:tr>
        <w:trPr>
          <w:trHeight w:hRule="exact" w:val="60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2/</w:t>
            </w:r>
          </w:p>
        </w:tc>
        <w:tc>
          <w:tcPr>
            <w:gridSpan w:val="2"/>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3400"/>
        <w:gridCol w:w="740"/>
        <w:gridCol w:w="1260"/>
        <w:gridCol w:w="2000"/>
        <w:gridCol w:w="3300"/>
        <w:gridCol w:w="1"/>
      </w:tblGrid>
      <w:tr>
        <w:trPr>
          <w:trHeight w:hRule="exact" w:val="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5"/>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兴业银行天天万汇通2020年第46期净值型理财2021年半年度报告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一. 重要提示</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3080"/>
        </w:trPr>
        <w:tc>
          <w:tcPr>
     </w:tcPr>
          <w:p>
            <w:pPr>
              <w:pStyle w:val="EMPTY_CELL_STYLE"/>
            </w:pPr>
          </w:p>
        </w:tc>
        <w:tc>
          <w:tcPr>
            <w:gridSpan w:val="5"/>
            <w:tcBorders>
              <w:top w:val="dotted" w:sz="8" w:space="0" w:color="000000"/>
              <w:left w:val="dotted" w:sz="8" w:space="0" w:color="000000"/>
              <w:bottom w:val="dotted" w:sz="8" w:space="0" w:color="000000"/>
              <w:right w:val="dotted" w:sz="8" w:space="0" w:color="000000"/>
            </w:tcBorders>
            <w:tcMar>
              <w:top w:w="0" w:type="dxa"/>
              <w:left w:w="0" w:type="dxa"/>
              <w:bottom w:w="0" w:type="dxa"/>
              <w:right w:w="0" w:type="dxa"/>
            </w:tcMar>
            <w:vAlign w:val="top"/>
          </w:tcPr>
          <w:p>
            <w:pPr>
              <w:ind/>
              <w:jc w:val="left"/>
              <w:spacing w:lineRule="auto" w:line="360" w:after="0" w:before="0"/>
            </w:pPr>
            <w:r>
              <w:rPr>
                <w:rFonts w:ascii="仿宋" w:hAnsi="仿宋" w:eastAsia="仿宋" w:cs="仿宋"/>
                <w:color w:val="000000"/>
                <w:sz w:val="21"/>
              </w:rPr>
              <w:br/>
              <w:t xml:space="preserve"> 1. 温馨提醒：理财非存款，产品有风险，投资需谨慎！</w:t>
              <w:br/>
              <w:t xml:space="preserve"> 2. 理财信息可供参考，详情请咨询理财经理，或在“中国理财网（www.chinawealth.com.cn）”查询该产品相关信息。</w:t>
              <w:br/>
              <w:t xml:space="preserve"> 3. 兴业银行股份有限公司保留对所有文字说明的最终解释权。</w:t>
              <w:br/>
              <w:t xml:space="preserve"> 4. 投资组合情况（期末资产组合情况、杠杆比例、资产前十持仓等）详情请理财持有人登录网银后进行查询。</w:t>
              <w:br/>
            </w: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二. 产品基本情况</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产品名称</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spacing w:lineRule="auto" w:line="240" w:after="0" w:before="0"/>
            </w:pPr>
            <w:r>
              <w:rPr>
                <w:rFonts w:ascii="宋体" w:hAnsi="宋体" w:eastAsia="宋体" w:cs="宋体"/>
                <w:color w:val="000000"/>
                <w:sz w:val="21"/>
              </w:rPr>
              <w:t xml:space="preserve">兴业银行天天万汇通2020年第46期净值型理财</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产品代码</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92120046</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全国银行业理财信息登记系统登记编码</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C1030920000441</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产品运作方式</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封闭式</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产品募集方式</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公募</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报告期末产品份额总额</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19,222,300.00份</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业绩比较基准</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1.20%</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投资币种</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美元</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风险等级</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R2</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产品管理人</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兴业银行股份有限公司</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产品托管人</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spacing w:lineRule="auto" w:line="240" w:after="0" w:before="0"/>
            </w:pPr>
            <w:r>
              <w:rPr>
                <w:rFonts w:ascii="宋体" w:hAnsi="宋体" w:eastAsia="宋体" w:cs="宋体"/>
                <w:color w:val="000000"/>
                <w:sz w:val="21"/>
              </w:rPr>
              <w:t xml:space="preserve">兴业银行股份有限公司</w:t>
            </w:r>
          </w:p>
        </w:tc>
        <w:tc>
          <w:tcPr>
     </w:tcPr>
          <w:p>
            <w:pPr>
              <w:pStyle w:val="EMPTY_CELL_STYLE"/>
            </w:pPr>
          </w:p>
        </w:tc>
      </w:tr>
      <w:tr>
        <w:trPr>
          <w:trHeight w:hRule="exact" w:val="3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3/</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r>
    </w:tbl>
    <w:tbl>
      <w:tblPr>
        <w:tblLayout w:type="fixed"/>
      </w:tblPr>
      <w:tblGrid>
        <w:gridCol w:w="1"/>
        <w:gridCol w:w="20"/>
        <w:gridCol w:w="2580"/>
        <w:gridCol w:w="800"/>
        <w:gridCol w:w="1700"/>
        <w:gridCol w:w="300"/>
        <w:gridCol w:w="2000"/>
        <w:gridCol w:w="400"/>
        <w:gridCol w:w="2400"/>
        <w:gridCol w:w="400"/>
        <w:gridCol w:w="100"/>
        <w:gridCol w:w="20"/>
        <w:gridCol w:w="1"/>
      </w:tblGrid>
      <w:tr>
        <w:trPr>
          <w:trHeight w:hRule="exact" w:val="0"/>
        </w:trPr>
        <w:tc>
          <w:tcPr>
     </w:tcPr>
          <w:p>
            <w:pPr>
              <w:pStyle w:val="EMPTY_CELL_STYLE"/>
              <w:pageBreakBefore/>
            </w:pPr>
            <w:bookmarkStart w:id="3" w:name="JR_PAGE_ANCHOR_0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10"/>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兴业银行天天万汇通2020年第46期净值型理财2021年半年度报告</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10"/>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三. 产品收益表现</w:t>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8"/>
            <w:tcMar>
              <w:top w:w="0" w:type="dxa"/>
              <w:left w:w="0" w:type="dxa"/>
              <w:bottom w:w="0" w:type="dxa"/>
              <w:right w:w="0" w:type="dxa"/>
            </w:tcMar>
            <w:vAlign w:val="center"/>
          </w:tcPr>
          <w:p>
            <w:pPr>
              <w:ind w:firstLine="0"/>
              <w:jc w:val="left"/>
              <w:spacing w:lineRule="exact" w:line="320" w:after="0" w:before="0"/>
            </w:pPr>
            <w:r>
              <w:rPr>
                <w:rFonts w:ascii="宋体" w:hAnsi="宋体" w:eastAsia="宋体" w:cs="宋体"/>
                <w:color w:val="000000"/>
                <w:sz w:val="21"/>
              </w:rPr>
              <w:t xml:space="preserve">产品92120046自起息日以来，累计净值增长率为0.7120%，年化累计净值增长率为1.2258%。</w:t>
              <w:br/>
              <w:t xml:space="preserve">报告期末，产品净值表现具体如下：</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2"/>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估值日期</w:t>
            </w:r>
          </w:p>
        </w:tc>
        <w:tc>
          <w:tcPr>
            <w:gridSpan w:val="2"/>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产品份额净值</w:t>
            </w:r>
          </w:p>
        </w:tc>
        <w:tc>
          <w:tcPr>
            <w:gridSpan w:val="3"/>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产品累计净值 </w:t>
            </w:r>
          </w:p>
        </w:tc>
        <w:tc>
          <w:tcPr>
            <w:gridSpan w:val="2"/>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产品资产净值</w:t>
            </w: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2"/>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2021年6月30日</w:t>
            </w:r>
          </w:p>
        </w:tc>
        <w:tc>
          <w:tcPr>
            <w:gridSpan w:val="2"/>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1.00712</w:t>
            </w:r>
          </w:p>
        </w:tc>
        <w:tc>
          <w:tcPr>
            <w:gridSpan w:val="3"/>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1.00712</w:t>
            </w:r>
          </w:p>
        </w:tc>
        <w:tc>
          <w:tcPr>
            <w:gridSpan w:val="2"/>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19,359,182.04</w:t>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10"/>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四. 产品投资经理简介</w:t>
            </w: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900"/>
        </w:trPr>
        <w:tc>
          <w:tcPr>
     </w:tcPr>
          <w:p>
            <w:pPr>
              <w:pStyle w:val="EMPTY_CELL_STYLE"/>
            </w:pPr>
          </w:p>
        </w:tc>
        <w:tc>
          <w:tcPr>
            <w:gridSpan w:val="10"/>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杨漠女士，南开大学硕士。具有十年以上金融从业经验，2008年加入兴业银行，先后从事自营投资（固收交易、非标投资、外币债券投资）8年和资管投资（外币理财）4年。擅长跨市场套利、境外债信用价值挖掘，对境内外市场均有丰富的投资经验。</w:t>
            </w: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10"/>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五. 报告期内产品的投资策略和运作分析</w:t>
            </w: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1560"/>
        </w:trPr>
        <w:tc>
          <w:tcPr>
     </w:tcPr>
          <w:p>
            <w:pPr>
              <w:pStyle w:val="EMPTY_CELL_STYLE"/>
            </w:pPr>
          </w:p>
        </w:tc>
        <w:tc>
          <w:tcPr>
            <w:gridSpan w:val="10"/>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汇盈首款产品于3月初运作，从运作至半年末，产品业绩震荡上行，产品业绩达到业绩基准。上半年投资经理以高资质、短久期为产品运作主策略。市场受 “华融”事件冲击，四月投资级债券利差有所扩大，加之10年期无风险收益率处于1.6%以上，投资经理认为无风险利率和信用利差均为买入时点，逢低买入债券，基本满仓。</w:t>
              <w:br/>
              <w:t xml:space="preserve">    6月由于无风险收益率处于上半年中枢偏下，且高等级信用利差达到上半年低点，个别涨幅较大债券实现获利了结。</w:t>
            </w: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10"/>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六. 理财托管机构报告</w:t>
            </w:r>
          </w:p>
        </w:tc>
        <w:tc>
          <w:tcP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3000"/>
        </w:trPr>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left"/>
              <w:spacing w:lineRule="exact" w:line="320" w:after="0" w:before="0"/>
            </w:pPr>
            <w:r>
              <w:rPr>
                <w:rFonts w:ascii="宋体" w:hAnsi="宋体" w:eastAsia="宋体" w:cs="宋体"/>
                <w:color w:val="000000"/>
                <w:sz w:val="21"/>
              </w:rPr>
              <w:br/>
              <w:t xml:space="preserve">    报告期内，托管人严格遵守《商业银行理财业务监督管理办法》及相关法律法规规定、理财产品托管协议约定，诚实信用、谨慎勤勉地履行了托管人义务，不存在损害理财产品投资者利益的行为。</w:t>
              <w:br/>
              <w:t xml:space="preserve">    报告期内，托管人根据国家有关法律法规规定、理财产品托管协议的约定，对管理人在本理财产品的投资运作、资产净值的计算、收益的计算、理财产品费用开支等方面进行了必要的监督、复核和审查，未发现其存在任何损害本理财产品投资者利益的行为。</w:t>
              <w:br/>
              <w:t xml:space="preserve">    托管人认真复核了本报告中的净值表现、投资组合报告等内容，认为其真实、准确和完整，不存在虚假记载、误导性陈述或者重大遗漏。</w:t>
              <w:br/>
            </w:r>
          </w:p>
        </w:tc>
        <w:tc>
          <w:tcPr>
     </w:tcPr>
          <w:p>
            <w:pPr>
              <w:pStyle w:val="EMPTY_CELL_STYLE"/>
            </w:pPr>
          </w:p>
        </w:tc>
      </w:tr>
      <w:tr>
        <w:trPr>
          <w:trHeight w:hRule="exact" w:val="1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4/</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20"/>
        <w:gridCol w:w="3380"/>
        <w:gridCol w:w="2000"/>
        <w:gridCol w:w="2000"/>
        <w:gridCol w:w="3300"/>
        <w:gridCol w:w="20"/>
        <w:gridCol w:w="1"/>
      </w:tblGrid>
      <w:tr>
        <w:trPr>
          <w:trHeight w:hRule="exact" w:val="0"/>
        </w:trPr>
        <w:tc>
          <w:tcPr>
     </w:tcPr>
          <w:p>
            <w:pPr>
              <w:pStyle w:val="EMPTY_CELL_STYLE"/>
              <w:pageBreakBefore/>
            </w:pPr>
            <w:bookmarkStart w:id="4" w:name="JR_PAGE_ANCHOR_0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5"/>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兴业银行天天万汇通2020年第46期净值型理财2021年半年度报告</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七. 投资组合情况</w:t>
            </w: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5"/>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1.报告期末产品资产组合情况</w:t>
            </w: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0"/>
        </w:trPr>
        <w:tc>
          <w:tcPr>
     </w:tcPr>
          <w:p>
            <w:pPr>
              <w:pStyle w:val="EMPTY_CELL_STYLE"/>
            </w:pPr>
          </w:p>
        </w:tc>
        <w:tc>
          <w:tcPr>
     </w:tcPr>
          <w:p>
            <w:pPr>
              <w:pStyle w:val="EMPTY_CELL_STYLE"/>
            </w:pPr>
          </w:p>
        </w:tc>
        <w:tc>
          <w:tcPr>
            <w:gridSpan w:val="5"/>
            <w:shd w:val="clear" w:color="auto" w:fill="FFFFFF"/>
            <w:tcMar>
              <w:top w:w="0" w:type="dxa"/>
              <w:left w:w="0" w:type="dxa"/>
              <w:bottom w:w="0" w:type="dxa"/>
              <w:right w:w="0" w:type="dxa"/>
            </w:tcMar>
          </w:tcPr>
          <w:tbl>
            <w:tblPr>
              <w:tblLayout w:type="fixed"/>
            </w:tblPr>
            <w:tblGrid>
              <w:gridCol w:w="1000"/>
              <w:gridCol w:w="2600"/>
              <w:gridCol w:w="4000"/>
              <w:gridCol w:w="3100"/>
            </w:tblGrid>
            <w:tr>
              <w:trPr>
                <w:trHeight w:hRule="exact" w:val="60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资产类型</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直接投资占比（%）</w:t>
                        </w:r>
                      </w:p>
                    </w:tc>
                  </w:tr>
                </w:tbl>
                <w:p>
                  <w:pPr>
                    <w:pStyle w:val="EMPTY_CELL_STYLE"/>
                  </w:pPr>
                </w:p>
              </w:tc>
              <w:tc>
                <w:tcPr>
                  <w:shd w:val="clear" w:color="auto" w:fill="F0F8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间接投资占比（%）</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现金及存款</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总计</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w:t>
                        </w:r>
                      </w:p>
                    </w:tc>
                  </w:tr>
                </w:tbl>
                <w:p>
                  <w:pPr>
                    <w:pStyle w:val="EMPTY_CELL_STYLE"/>
                  </w:pPr>
                </w:p>
              </w:tc>
            </w:tr>
          </w:tbl>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2.报告期末杠杆融资情况</w:t>
            </w:r>
          </w:p>
        </w:tc>
        <w:tc>
          <w:tcPr>
     </w:tcPr>
          <w:p>
            <w:pPr>
              <w:pStyle w:val="EMPTY_CELL_STYLE"/>
            </w:pPr>
          </w:p>
        </w:tc>
        <w:tc>
          <w:tcPr>
     </w:tcPr>
          <w:p>
            <w:pPr>
              <w:pStyle w:val="EMPTY_CELL_STYLE"/>
            </w:pPr>
          </w:p>
        </w:tc>
      </w:tr>
      <w:tr>
        <w:trPr>
          <w:trHeight w:hRule="atLeast" w:val="1000"/>
        </w:trPr>
        <w:tc>
          <w:tcPr>
     </w:tcPr>
          <w:p>
            <w:pPr>
              <w:pStyle w:val="EMPTY_CELL_STYLE"/>
            </w:pPr>
          </w:p>
        </w:tc>
        <w:tc>
          <w:tcPr>
            <w:gridSpan w:val="5"/>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报告期末本产品总资产未超过该产品净资产规模的200%，符合产品协议对本产品杠杆比例的要求。</w:t>
            </w: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3.投资组合的流动性风险分析</w:t>
            </w:r>
          </w:p>
        </w:tc>
        <w:tc>
          <w:tcPr>
     </w:tcPr>
          <w:p>
            <w:pPr>
              <w:pStyle w:val="EMPTY_CELL_STYLE"/>
            </w:pPr>
          </w:p>
        </w:tc>
        <w:tc>
          <w:tcPr>
     </w:tcPr>
          <w:p>
            <w:pPr>
              <w:pStyle w:val="EMPTY_CELL_STYLE"/>
            </w:pPr>
          </w:p>
        </w:tc>
      </w:tr>
      <w:tr>
        <w:trPr>
          <w:trHeight w:hRule="atLeast" w:val="2580"/>
        </w:trPr>
        <w:tc>
          <w:tcPr>
     </w:tcPr>
          <w:p>
            <w:pPr>
              <w:pStyle w:val="EMPTY_CELL_STYLE"/>
            </w:pPr>
          </w:p>
        </w:tc>
        <w:tc>
          <w:tcPr>
            <w:gridSpan w:val="5"/>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流动性风险是指产品在履行与金融负债有关的义务时遇到资金短缺的风险。本产品的流动性风险主要来自于若投资品种所处的交易市场不活跃，可能带来资产变现困难或产品持仓资产在市场出现剧烈波动的情况下难以以合理价格变现的风险。</w:t>
              <w:br/>
              <w:t xml:space="preserve">    为防范无法支付到期赎回款而产生的流动性风险，本理财产品管理人将合理安排所投资产期限，产品到期前完成所投资组合中相关资产变现，尽可能降低产品流动性风险，有效保障理财持有人利益。</w:t>
              <w:br/>
              <w:t xml:space="preserve">    报告期内，本理财产品管理人严格遵守相关法律法规以及产品销售协议，对理财产品组合资产的流动性风险进行管理，报告期内未发生流动性风险。</w:t>
              <w:br/>
            </w: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pPr>
            <w:r>
              <w:rPr>
                <w:rFonts w:ascii="宋体" w:hAnsi="宋体" w:eastAsia="宋体" w:cs="宋体"/>
                <w:color w:val="000000"/>
                <w:sz w:val="21"/>
                <w:b w:val="true"/>
              </w:rPr>
              <w:t xml:space="preserve">4.报告期末资产持仓前十基本信息</w:t>
            </w:r>
          </w:p>
        </w:tc>
        <w:tc>
          <w:tcPr>
     </w:tcPr>
          <w:p>
            <w:pPr>
              <w:pStyle w:val="EMPTY_CELL_STYLE"/>
            </w:pPr>
          </w:p>
        </w:tc>
        <w:tc>
          <w:tcPr>
     </w:tcPr>
          <w:p>
            <w:pPr>
              <w:pStyle w:val="EMPTY_CELL_STYLE"/>
            </w:pPr>
          </w:p>
        </w:tc>
      </w:tr>
      <w:tr>
        <w:trPr>
          <w:trHeight w:hRule="exact" w:val="1240"/>
        </w:trPr>
        <w:tc>
          <w:tcPr>
     </w:tcPr>
          <w:p>
            <w:pPr>
              <w:pStyle w:val="EMPTY_CELL_STYLE"/>
            </w:pPr>
          </w:p>
        </w:tc>
        <w:tc>
          <w:tcPr>
            <w:gridSpan w:val="5"/>
            <w:shd w:val="clear" w:color="auto" w:fill="FFFFFF"/>
            <w:tcBorders>
              <w:bottom w:val="single" w:sz="4" w:space="0" w:color="000000"/>
            </w:tcBorders>
            <w:tcMar>
              <w:top w:w="0" w:type="dxa"/>
              <w:left w:w="0" w:type="dxa"/>
              <w:bottom w:w="0" w:type="dxa"/>
              <w:right w:w="0" w:type="dxa"/>
            </w:tcMar>
          </w:tcPr>
          <w:tbl>
            <w:tblPr>
              <w:tblLayout w:type="fixed"/>
            </w:tblPr>
            <w:tblGrid>
              <w:gridCol w:w="1000"/>
              <w:gridCol w:w="4000"/>
              <w:gridCol w:w="2600"/>
              <w:gridCol w:w="3100"/>
            </w:tblGrid>
            <w:tr>
              <w:trPr>
                <w:trHeight w:hRule="exact" w:val="64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3100"/>
                    <w:gridCol w:w="31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占产品资产净值的比例（%）</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存放同业20201120001S</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19,212,907.02</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99.24</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4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5/</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160"/>
        <w:gridCol w:w="3200"/>
        <w:gridCol w:w="2000"/>
        <w:gridCol w:w="2000"/>
        <w:gridCol w:w="3300"/>
        <w:gridCol w:w="40"/>
        <w:gridCol w:w="1"/>
      </w:tblGrid>
      <w:tr>
        <w:trPr>
          <w:trHeight w:hRule="exact" w:val="0"/>
        </w:trPr>
        <w:tc>
          <w:tcPr>
     </w:tcPr>
          <w:p>
            <w:pPr>
              <w:pStyle w:val="EMPTY_CELL_STYLE"/>
              <w:pageBreakBefore/>
            </w:pPr>
            <w:bookmarkStart w:id="5" w:name="JR_PAGE_ANCHOR_0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兴业银行天天万汇通2020年第46期净值型理财2021年半年度报告</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6"/>
            <w:tcMar>
              <w:top w:w="0" w:type="dxa"/>
              <w:left w:w="0" w:type="dxa"/>
              <w:bottom w:w="0" w:type="dxa"/>
              <w:right w:w="0" w:type="dxa"/>
            </w:tcMar>
            <w:vAlign w:val="center"/>
          </w:tcPr>
          <w:p>
            <w:pPr>
              <w:ind/>
            </w:pPr>
            <w:r>
              <w:rPr>
                <w:rFonts w:ascii="宋体" w:hAnsi="宋体" w:eastAsia="宋体" w:cs="宋体"/>
                <w:color w:val="000000"/>
                <w:sz w:val="21"/>
                <w:b w:val="true"/>
              </w:rPr>
              <w:t xml:space="preserve">5.报告期间关联交易情况</w:t>
            </w: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5.1 理财产品在报告期末投资关联方发行、承销的证券的情况</w:t>
            </w: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800"/>
              <w:gridCol w:w="3000"/>
              <w:gridCol w:w="2800"/>
              <w:gridCol w:w="31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承销商/发行人</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0700"/>
              <w:gridCol w:w="10700"/>
            </w:tblGrid>
            <w:tr>
              <w:trPr>
                <w:trHeight w:hRule="exact" w:val="600"/>
              </w:trPr>
              <w:tc>
                <w:tcPr>
                  <w:shd w:val="clear" w:color="auto" w:fill="FFFFFF"/>
                  <w:tcBorders>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06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无</w:t>
                        </w:r>
                      </w:p>
                    </w:tc>
                    <w:tc>
                      <w:tcPr>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5.2 理财产品在报告期内其他关联交易</w:t>
            </w: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600"/>
              <w:gridCol w:w="2200"/>
              <w:gridCol w:w="2200"/>
              <w:gridCol w:w="1800"/>
              <w:gridCol w:w="29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交易类型</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关联方名称</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0700"/>
              <w:gridCol w:w="10700"/>
            </w:tblGrid>
            <w:tr>
              <w:trPr>
                <w:trHeight w:hRule="exact" w:val="600"/>
              </w:trPr>
              <w:tc>
                <w:tcPr>
                  <w:shd w:val="clear" w:color="auto" w:fill="FFFFFF"/>
                  <w:tcBorders>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06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无</w:t>
                        </w:r>
                      </w:p>
                    </w:tc>
                    <w:tc>
                      <w:tcPr>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5.3 理财产品在报告期内中的重大关联交易</w:t>
            </w: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600"/>
              <w:gridCol w:w="2200"/>
              <w:gridCol w:w="2200"/>
              <w:gridCol w:w="1800"/>
              <w:gridCol w:w="29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交易类型</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关联方名称</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0700"/>
              <w:gridCol w:w="10700"/>
            </w:tblGrid>
            <w:tr>
              <w:trPr>
                <w:trHeight w:hRule="exact" w:val="600"/>
              </w:trPr>
              <w:tc>
                <w:tcPr>
                  <w:shd w:val="clear" w:color="auto" w:fill="FFFFFF"/>
                  <w:tcBorders>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06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无</w:t>
                        </w:r>
                      </w:p>
                    </w:tc>
                    <w:tc>
                      <w:tcPr>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6"/>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6.投资账户信息</w:t>
            </w:r>
          </w:p>
        </w:tc>
        <w:tc>
          <w:tcPr>
     </w:tcPr>
          <w:p>
            <w:pPr>
              <w:pStyle w:val="EMPTY_CELL_STYLE"/>
            </w:pPr>
          </w:p>
        </w:tc>
      </w:tr>
      <w:tr>
        <w:trPr>
          <w:trHeight w:hRule="exact" w:val="1200"/>
        </w:trPr>
        <w:tc>
          <w:tcPr>
     </w:tcPr>
          <w:p>
            <w:pPr>
              <w:pStyle w:val="EMPTY_CELL_STYLE"/>
            </w:pPr>
          </w:p>
        </w:tc>
        <w:tc>
          <w:tcPr>
     </w:tcPr>
          <w:p>
            <w:pPr>
              <w:pStyle w:val="EMPTY_CELL_STYLE"/>
            </w:pPr>
          </w:p>
        </w:tc>
        <w:tc>
          <w:tcPr>
            <w:gridSpan w:val="6"/>
            <w:shd w:val="clear" w:color="auto" w:fill="FFFFFF"/>
            <w:tcMar>
              <w:top w:w="0" w:type="dxa"/>
              <w:left w:w="0" w:type="dxa"/>
              <w:bottom w:w="0" w:type="dxa"/>
              <w:right w:w="0" w:type="dxa"/>
            </w:tcMar>
          </w:tcPr>
          <w:tbl>
            <w:tblPr>
              <w:tblLayout w:type="fixed"/>
            </w:tblPr>
            <w:tblGrid>
              <w:gridCol w:w="1000"/>
              <w:gridCol w:w="2200"/>
              <w:gridCol w:w="3000"/>
              <w:gridCol w:w="4500"/>
            </w:tblGrid>
            <w:tr>
              <w:trPr>
                <w:trHeight w:hRule="exact" w:val="60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账户类型</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账户编号</w:t>
                        </w:r>
                      </w:p>
                    </w:tc>
                  </w:tr>
                </w:tbl>
                <w:p>
                  <w:pPr>
                    <w:pStyle w:val="EMPTY_CELL_STYLE"/>
                  </w:pPr>
                </w:p>
              </w:tc>
              <w:tc>
                <w:tcPr>
                  <w:shd w:val="clear" w:color="auto" w:fill="B3B4B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500"/>
                    <w:gridCol w:w="45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账户名称</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托管账户</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051011400100010815</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500"/>
                    <w:gridCol w:w="45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兴业银行天天万汇通2020年第46期净值型理财产品</w:t>
                        </w:r>
                      </w:p>
                    </w:tc>
                  </w:tr>
                </w:tbl>
                <w:p>
                  <w:pPr>
                    <w:pStyle w:val="EMPTY_CELL_STYLE"/>
                  </w:pPr>
                </w:p>
              </w:tc>
            </w:tr>
          </w:tbl>
          <w:p>
            <w:pPr>
              <w:pStyle w:val="EMPTY_CELL_STYLE"/>
            </w:pPr>
          </w:p>
        </w:tc>
        <w:tc>
          <w:tcPr>
     </w:tcPr>
          <w:p>
            <w:pPr>
              <w:pStyle w:val="EMPTY_CELL_STYLE"/>
            </w:pPr>
          </w:p>
        </w:tc>
      </w:tr>
      <w:tr>
        <w:trPr>
          <w:trHeight w:hRule="exact" w:val="9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center"/>
          </w:tcPr>
          <w:p>
            <w:pPr>
              <w:ind/>
              <w:jc w:val="right"/>
            </w:pPr>
            <w:r>
              <w:rPr>
                <w:rFonts w:ascii="宋体" w:hAnsi="宋体" w:eastAsia="宋体" w:cs="宋体"/>
                <w:color w:val="000000"/>
                <w:sz w:val="21"/>
              </w:rPr>
              <w:t xml:space="preserve">兴业银行股份有限公司</w:t>
            </w: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top"/>
          </w:tcPr>
          <w:p>
            <w:pPr>
              <w:ind/>
              <w:jc w:val="right"/>
            </w:pPr>
            <w:r>
              <w:rPr>
                <w:rFonts w:ascii="宋体" w:hAnsi="宋体" w:eastAsia="宋体" w:cs="宋体"/>
                <w:color w:val="000000"/>
                <w:sz w:val="21"/>
              </w:rPr>
              <w:t xml:space="preserve">2021年9月23日</w:t>
            </w:r>
          </w:p>
        </w:tc>
        <w:tc>
          <w:tcPr>
     </w:tcPr>
          <w:p>
            <w:pPr>
              <w:pStyle w:val="EMPTY_CELL_STYLE"/>
            </w:pPr>
          </w:p>
        </w:tc>
        <w:tc>
          <w:tcPr>
     </w:tcPr>
          <w:p>
            <w:pPr>
              <w:pStyle w:val="EMPTY_CELL_STYLE"/>
            </w:pPr>
          </w:p>
        </w:tc>
      </w:tr>
      <w:tr>
        <w:trPr>
          <w:trHeight w:hRule="exact" w:val="5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6/</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c>
          <w:tcPr>
     </w:tcPr>
          <w:p>
            <w:pPr>
              <w:pStyle w:val="EMPTY_CELL_STYLE"/>
            </w:pPr>
          </w:p>
        </w:tc>
      </w:tr>
    </w:tbl>
    <w:sectPr>
      <w:pgSz w:w="11900" w:h="16840" w:orient="portrait"/>
      <w:pgMar w:top="600" w:right="560" w:bottom="240" w:left="6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 w:type="paragraph" w:styleId="Table_TH">
    <w:name w:val="Table_TH"/>
    <w:qFormat/>
    <w:pPr>
      <w:ind/>
    </w:pPr>
    <w:rPr>
      <w:rFonts w:ascii="SansSerif" w:hAnsi="SansSerif" w:eastAsia="SansSerif" w:cs="SansSerif"/>
      <w:color w:val="000000"/>
      <w:sz w:val="20"/>
    </w:rPr>
  </w:style>
  <w:style w:type="paragraph" w:styleId="Table_CH">
    <w:name w:val="Table_CH"/>
    <w:qFormat/>
    <w:pPr>
      <w:ind/>
    </w:pPr>
    <w:rPr>
      <w:rFonts w:ascii="SansSerif" w:hAnsi="SansSerif" w:eastAsia="SansSerif" w:cs="SansSerif"/>
      <w:color w:val="000000"/>
      <w:sz w:val="20"/>
    </w:rPr>
  </w:style>
  <w:style w:type="paragraph" w:styleId="Table_TD">
    <w:name w:val="Table_TD"/>
    <w:qFormat/>
    <w:pPr>
      <w:ind/>
    </w:pPr>
    <w:rPr>
      <w:rFonts w:ascii="SansSerif" w:hAnsi="SansSerif" w:eastAsia="SansSerif" w:cs="SansSerif"/>
      <w:color w:val="000000"/>
      <w:sz w:val="20"/>
    </w:rPr>
  </w:style>
  <w:style w:type="paragraph" w:styleId="Table_CD">
    <w:name w:val="Table_CD"/>
    <w:qFormat/>
    <w:pPr>
      <w:ind/>
    </w:pPr>
    <w:rPr>
      <w:rFonts w:ascii="SansSerif" w:hAnsi="SansSerif" w:eastAsia="SansSerif" w:cs="SansSerif"/>
      <w:color w:val="000000"/>
      <w:sz w:val="20"/>
    </w:rPr>
  </w:style>
  <w:style w:type="paragraph" w:styleId="Table 3_TH">
    <w:name w:val="Table 3_TH"/>
    <w:qFormat/>
    <w:pPr>
      <w:ind/>
    </w:pPr>
    <w:rPr>
      <w:rFonts w:ascii="SansSerif" w:hAnsi="SansSerif" w:eastAsia="SansSerif" w:cs="SansSerif"/>
      <w:color w:val="000000"/>
      <w:sz w:val="20"/>
    </w:rPr>
  </w:style>
  <w:style w:type="paragraph" w:styleId="Table 3_CH">
    <w:name w:val="Table 3_CH"/>
    <w:qFormat/>
    <w:pPr>
      <w:ind/>
    </w:pPr>
    <w:rPr>
      <w:rFonts w:ascii="SansSerif" w:hAnsi="SansSerif" w:eastAsia="SansSerif" w:cs="SansSerif"/>
      <w:color w:val="000000"/>
      <w:sz w:val="20"/>
    </w:rPr>
  </w:style>
  <w:style w:type="paragraph" w:styleId="Table 3_TD">
    <w:name w:val="Table 3_TD"/>
    <w:qFormat/>
    <w:pPr>
      <w:ind/>
    </w:pPr>
    <w:rPr>
      <w:rFonts w:ascii="SansSerif" w:hAnsi="SansSerif" w:eastAsia="SansSerif" w:cs="SansSerif"/>
      <w:color w:val="000000"/>
      <w:sz w:val="20"/>
    </w:rPr>
  </w:style>
  <w:style w:type="paragraph" w:styleId="Table 4_TH">
    <w:name w:val="Table 4_TH"/>
    <w:qFormat/>
    <w:pPr>
      <w:ind/>
    </w:pPr>
    <w:rPr>
      <w:rFonts w:ascii="SansSerif" w:hAnsi="SansSerif" w:eastAsia="SansSerif" w:cs="SansSerif"/>
      <w:color w:val="000000"/>
      <w:sz w:val="20"/>
    </w:rPr>
  </w:style>
  <w:style w:type="paragraph" w:styleId="Table 4_CH">
    <w:name w:val="Table 4_CH"/>
    <w:qFormat/>
    <w:pPr>
      <w:ind/>
    </w:pPr>
    <w:rPr>
      <w:rFonts w:ascii="SansSerif" w:hAnsi="SansSerif" w:eastAsia="SansSerif" w:cs="SansSerif"/>
      <w:color w:val="000000"/>
      <w:sz w:val="20"/>
    </w:rPr>
  </w:style>
  <w:style w:type="paragraph" w:styleId="Table 4_TD">
    <w:name w:val="Table 4_TD"/>
    <w:qFormat/>
    <w:pPr>
      <w:ind/>
    </w:pPr>
    <w:rPr>
      <w:rFonts w:ascii="SansSerif" w:hAnsi="SansSerif" w:eastAsia="SansSerif" w:cs="SansSerif"/>
      <w:color w:val="000000"/>
      <w:sz w:val="20"/>
    </w:rPr>
  </w:style>
  <w:style w:type="paragraph" w:styleId="Table 1_TH">
    <w:name w:val="Table 1_TH"/>
    <w:qFormat/>
    <w:pPr>
      <w:ind/>
    </w:pPr>
    <w:rPr>
      <w:rFonts w:ascii="SansSerif" w:hAnsi="SansSerif" w:eastAsia="SansSerif" w:cs="SansSerif"/>
      <w:color w:val="000000"/>
      <w:sz w:val="20"/>
    </w:rPr>
  </w:style>
  <w:style w:type="paragraph" w:styleId="Table 1_CH">
    <w:name w:val="Table 1_CH"/>
    <w:qFormat/>
    <w:pPr>
      <w:ind/>
    </w:pPr>
    <w:rPr>
      <w:rFonts w:ascii="SansSerif" w:hAnsi="SansSerif" w:eastAsia="SansSerif" w:cs="SansSerif"/>
      <w:color w:val="000000"/>
      <w:sz w:val="20"/>
    </w:rPr>
  </w:style>
  <w:style w:type="paragraph" w:styleId="Table 1_TD">
    <w:name w:val="Table 1_TD"/>
    <w:qFormat/>
    <w:pPr>
      <w:ind/>
    </w:pPr>
    <w:rPr>
      <w:rFonts w:ascii="SansSerif" w:hAnsi="SansSerif" w:eastAsia="SansSerif" w:cs="SansSerif"/>
      <w:color w:val="000000"/>
      <w:sz w:val="20"/>
    </w:rPr>
  </w:style>
  <w:style w:type="paragraph" w:styleId="Table 2_TH">
    <w:name w:val="Table 2_TH"/>
    <w:qFormat/>
    <w:pPr>
      <w:ind/>
    </w:pPr>
    <w:rPr>
      <w:rFonts w:ascii="SansSerif" w:hAnsi="SansSerif" w:eastAsia="SansSerif" w:cs="SansSerif"/>
      <w:color w:val="000000"/>
      <w:sz w:val="20"/>
    </w:rPr>
  </w:style>
  <w:style w:type="paragraph" w:styleId="Table 2_CH">
    <w:name w:val="Table 2_CH"/>
    <w:qFormat/>
    <w:pPr>
      <w:ind/>
    </w:pPr>
    <w:rPr>
      <w:rFonts w:ascii="SansSerif" w:hAnsi="SansSerif" w:eastAsia="SansSerif" w:cs="SansSerif"/>
      <w:color w:val="000000"/>
      <w:sz w:val="20"/>
    </w:rPr>
  </w:style>
  <w:style w:type="paragraph" w:styleId="Table 2_TD">
    <w:name w:val="Table 2_TD"/>
    <w:qFormat/>
    <w:pPr>
      <w:ind/>
    </w:pPr>
    <w:rPr>
      <w:rFonts w:ascii="SansSerif" w:hAnsi="SansSerif" w:eastAsia="SansSerif" w:cs="SansSerif"/>
      <w:color w:val="000000"/>
      <w:sz w:val="20"/>
    </w:rPr>
  </w:style>
  <w:style w:type="paragraph" w:styleId="Table 5_TH">
    <w:name w:val="Table 5_TH"/>
    <w:qFormat/>
    <w:pPr>
      <w:ind/>
    </w:pPr>
    <w:rPr>
      <w:rFonts w:ascii="SansSerif" w:hAnsi="SansSerif" w:eastAsia="SansSerif" w:cs="SansSerif"/>
      <w:color w:val="000000"/>
      <w:sz w:val="20"/>
    </w:rPr>
  </w:style>
  <w:style w:type="paragraph" w:styleId="Table 5_CH">
    <w:name w:val="Table 5_CH"/>
    <w:qFormat/>
    <w:pPr>
      <w:ind/>
    </w:pPr>
    <w:rPr>
      <w:rFonts w:ascii="SansSerif" w:hAnsi="SansSerif" w:eastAsia="SansSerif" w:cs="SansSerif"/>
      <w:color w:val="000000"/>
      <w:sz w:val="20"/>
    </w:rPr>
  </w:style>
  <w:style w:type="paragraph" w:styleId="Table 5_TD">
    <w:name w:val="Table 5_TD"/>
    <w:qFormat/>
    <w:pPr>
      <w:ind/>
    </w:pPr>
    <w:rPr>
      <w:rFonts w:ascii="SansSerif" w:hAnsi="SansSerif" w:eastAsia="SansSerif" w:cs="SansSerif"/>
      <w:color w:val="000000"/>
      <w:sz w:val="20"/>
    </w:rPr>
  </w:style>
  <w:style w:type="paragraph" w:styleId="Table 6_TH">
    <w:name w:val="Table 6_TH"/>
    <w:qFormat/>
    <w:pPr>
      <w:ind/>
    </w:pPr>
    <w:rPr>
      <w:rFonts w:ascii="SansSerif" w:hAnsi="SansSerif" w:eastAsia="SansSerif" w:cs="SansSerif"/>
      <w:color w:val="000000"/>
      <w:sz w:val="20"/>
    </w:rPr>
  </w:style>
  <w:style w:type="paragraph" w:styleId="Table 6_CH">
    <w:name w:val="Table 6_CH"/>
    <w:qFormat/>
    <w:pPr>
      <w:ind/>
    </w:pPr>
    <w:rPr>
      <w:rFonts w:ascii="SansSerif" w:hAnsi="SansSerif" w:eastAsia="SansSerif" w:cs="SansSerif"/>
      <w:color w:val="000000"/>
      <w:sz w:val="20"/>
    </w:rPr>
  </w:style>
  <w:style w:type="paragraph" w:styleId="Table 6_TD">
    <w:name w:val="Table 6_TD"/>
    <w:qFormat/>
    <w:pPr>
      <w:ind/>
    </w:pPr>
    <w:rPr>
      <w:rFonts w:ascii="SansSerif" w:hAnsi="SansSerif" w:eastAsia="SansSerif" w:cs="SansSerif"/>
      <w:color w:val="000000"/>
      <w:sz w:val="20"/>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