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兴银理财和鑫财富悦享1号C款净值型理财产品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产品9B214130自起息日以来，累计净值增长率为2.3790%，年化累计净值增长率为4.0767%。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1,023,787,415.11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20平安银行CD309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兴银理财和鑫财富悦享1号C款净值型理财产品</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兴银理财和鑫财富悦享1号C款净值型理财产品2021年半年度报告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