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兴银理财和鑫财富悦享1号E款净值型理财产品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兴银理财和鑫财富悦享1号E款净值型理财产品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产品9B214150自起息日以来，累计净值增长率为1.1730%，年化累计净值增长率为4.0776%。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212,462,651.64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兴银理财和鑫财富悦享1号E款净值型理财产品2021年半年度报告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Z京-同业借款20210319002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21中信银行CD047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兴银理财和鑫财富悦享1号E款净值型理财产品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