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兴银理财添利新私享净值型理财产品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兴银理财添利新私享净值型理财产品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21,684,135,276.29份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报告期内，9B310006七日年化收益率均值3.0834%。同期业绩比较基准如下：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2021-01-01至2021-06-30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0.8401</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3.2920%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21,684,135,276.29</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2年固定收益投资交易经验。2017年加入兴业银行以来，从事理财产品投资组合管理工作，协助管理总规模逾千亿，善于大资金的资产配置和流动性管理。2020年起担任“兴业银行添利3号净值型理财产品”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1、宏观经济及市场情况</w:t>
              <w:br/>
              <w:t xml:space="preserve">    今年以来，10Y国债利率走势先上后下，在3.0%-3.3%区间波动。1~2月，生产较强劲，但因石家庄疫情反复和就地过年导致部分消费场景缺失而致内需偏弱，但国内经济运行数据因低基数效应仍普遍跳升，经济整体延续快速修复态势；同时海外通胀预期隐现，国内专项债发行迟缓，货币政策仍以稳为主但向结构优化方向继续推进。3月国常会提出“保持宏观杠杆率基本稳定”给增长预期降温，经济政策逐步退出复苏模式。4月，海外经济修复加快，美债一度摸高，输入通胀担忧加剧；但国内社融增速放缓，一季度经济运行数据忧喜参半，中央政治局会议更是强调“用好稳增长压力较小的窗口期”，宽货币+紧信用政策组合逐步明晰，国债收益率震荡下行。5月，海外经济持续修复，但中央层面多次表示大宗商品大涨主要系外部通胀输入影响，可持续性不强，国内对输入通胀担忧有所平复；一季度货政报告肯定经济基本面向好但指出“经济恢复不均衡、基础不稳固”，国债收益率继续下探。但5月下旬开始，政府融资提速，信贷总量回归常态，消费数据持续改善，10Y国债收益率探底回升。</w:t>
              <w:br/>
              <w:t xml:space="preserve">    2、前期运作回顾</w:t>
              <w:br/>
              <w:t xml:space="preserve">    报告期内，本产品始终将保持流动性安全和防范信用风险作为第一要务，通过稳健的投资风格实现相对稳定的收益。在资产配置上，仍然维持以利率债、同业存单、中高等级信用债、资产支持证券为主，保证产品流动性安全，严格控制信用风险和利率风险。在投资策略上以票息策略为主，杠杆及交易性策略为辅，积极把握市场调整时的买入机会，努力提升产品收益。</w:t>
              <w:br/>
              <w:t xml:space="preserve">    3、后期投资策略</w:t>
              <w:br/>
              <w:t xml:space="preserve">    下阶段本产品依然会保持安全性和流动性优先、兼顾收益性的稳健投资策略，为客户创造稳定的收益回报。我们会深入研究分析宏观经济运行规律和利率变化趋势，综合考量各投资品种的风险收益特征，并结合已颁布的《关于规范现金管理类理财产品管理有关事项的通知》的相关要求，在此基础上自上而下地制定科学有效的投资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在具体投资品种的选择上，会结合产品的波动性特征，并综合考虑同业存单、中高等级信用债、资产支持证券等品种的收益性和流动性，遴选优质投资标的；根据“通知”的要求，在过渡期内合理压降组合久期，调整资产集中度等相关指标；流动性管理方面，我们会密切关注市场资金面的影响因素，动态监测申购赎回数据，合理分配现金流，确保流动性安全。</w:t>
            </w: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1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21杭州银行CD059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Z存放同业20201028001（不可转让）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Z存放同业（线上）20210414001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21重庆银行CD045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21江苏银行CD056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上海银行浦东分行大额存单20210329004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Z存放同业（线上）20210413002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21农业银行CD030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r>
          </w:tbl>
          <w:p>
            <w:pPr>
              <w:pStyle w:val="EMPTY_CELL_STYLE"/>
            </w:pPr>
          </w:p>
        </w:tc>
        <w:tc>
          <w:tcPr>
     </w:tcPr>
          <w:p>
            <w:pPr>
              <w:pStyle w:val="EMPTY_CELL_STYLE"/>
            </w:pPr>
          </w:p>
        </w:tc>
      </w:tr>
      <w:tr>
        <w:trPr>
          <w:trHeight w:hRule="exact" w:val="5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18首钢MTN002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19华润MTN005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21凤城河CP001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14宿产发MTN001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17中节能MTN001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17合建投MTN002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18京国资MTN001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18宁河西PPN001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19陕延油MTN010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19鲁黄金MTN003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20云工投SCP003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21杭金投SCP003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21泸州窖SCP001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21闽漳龙SCP001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19川能投MTN004A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18越秀集团GN002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20太湖新城CP001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21金坛投资CP003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17徐新国资MTN002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18中交建融MTN001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18华发实业MTN001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18湖州城投MTN001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19宜兴城投PPN002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19越秀集团MTN001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20国能江苏SCP003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21宁德国投SCP001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21平安租赁SCP001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21物产中大SCP002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21福州交投SCP001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21金圆投资SCP001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21青岛海湾SCP001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21龙岩汇金SCP004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21闽漳龙SCP001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21龙岩汇金SCP004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19宜兴城投PPN002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051010100101076812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兴银理财添利新私享净值型理财产品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12/</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