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兴业银行添利5号净值型理财产品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兴业银行添利5号净值型理财产品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9B319021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19,743,944,246.83份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报告期内，9B319021七日年化收益率均值2.8001%。同期业绩比较基准如下：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2021-01-01至2021-06-30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0.9060</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3.4290%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19,743,944,246.83</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汪锦女士，上海财经大学经济学硕士，国际金融理财师（CFP），中级经济师职称。银行理财产品创设、投资从业11年。 2005年历任上海银行金融市场部代客资产管理处固定收益投资经理、任同业“利多系列”产品经理；2013年加入兴业银行资产管理部产品研发处，任同业“稳增1号”、“稳增2号”产品的投资经理。2016年起，负责总行资产管理部流动性管理，总规模逾万亿，擅长大资金的资产配置和流动性管理，尤其善于管理同业理财产品。2019年5月起担任“兴业银行添利五号净值型理财产品”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1、宏观经济及市场情况</w:t>
              <w:br/>
              <w:t xml:space="preserve">    二季度，经济延续复苏态势，增长动能切换。出口和房地产的拐点逐渐显现，经济内生动能持续修复，制造业复苏进程推进，服务业生产指数也维持较高水平，尽管散点疫情仍然带来了一些反复，但内需基本平稳，外需依然有韧性、消费需求持续释放。综合4月及5月经济数据，市场普遍预计二季度GDP增速7.8%-8.3%，对应两年单季度复合增速5.5%-5.7%，逐步接近潜在产出水平。</w:t>
              <w:br/>
              <w:t xml:space="preserve">此外，2021年货币政策委员会在第二季度例会上提出，二季度我国经济稳步回升，在地产、出口“双轮驱动”的支持下，当前处于稳中向好的状态，范外部冲击，维护经济大局平稳，达到更高水平均衡。可见，当前国内经济稳中向好，风险点主要来自国外，即美联储开启Taper的时间节点。</w:t>
              <w:br/>
              <w:t xml:space="preserve">    二季度，国内债市在欠配压力及看空做多的纠结中，走出震荡向下行情，10年期国债收益率来到3.1%左右。</w:t>
              <w:br/>
              <w:t xml:space="preserve">    2、前期运作回顾</w:t>
              <w:br/>
              <w:t xml:space="preserve">    报告期内（2021.4.1-2021.6.30），添利5号日均规模265亿元，较一季度日均下降19亿，降幅6.7%；产品七日年化收益率日均为2.7%，较一季度2.83%下降13bp；杠杆率113%，与一季度基本持平。</w:t>
              <w:br/>
              <w:t xml:space="preserve">    二季度产品建仓时点主要集中在4月。4月建仓量占整个二季度的65%，并且择优构建部分流动性较高的非银金融债、短融、存放及存单；并在6月末，产品出现较大规模赎回时，择机卖出交易所私募债，释放浮盈，同时保证产品流动性，满足客户赎回需求。</w:t>
              <w:br/>
              <w:t xml:space="preserve">    3、下一阶段策略</w:t>
              <w:br/>
              <w:t xml:space="preserve">    根据二季度货币政策委员会例会表述分析，未来三季度，货币政策仍然以稳为主，市场流动性合理充裕。从国</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内宏观经济角度分析，下半年仍将保持复苏态势，增长动能或将趋缓，“稳增长”将更多依靠财政发力。综上，料国内债市将保持震荡走势，标的债券将以中短久期、票息策略为主，杠杆策略为辅，适当关注市场调整时的波段建仓机会。流动性管理方面，我们会密切关注季度、缴税时点等资金敏感期，提前摸底产品申购赎回情况，合理分配现金流，全力保证产品流动性安全。</w:t>
              <w:br/>
              <w:br/>
              <w:br/>
            </w: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Z存放同业20201028001（不可转让）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Z存放同业20210514002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21招商银行CD038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20进出12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20江苏银行CD192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20华融湘江银行CD140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r>
          </w:tbl>
          <w:p>
            <w:pPr>
              <w:pStyle w:val="EMPTY_CELL_STYLE"/>
            </w:pPr>
          </w:p>
        </w:tc>
        <w:tc>
          <w:tcPr>
     </w:tcPr>
          <w:p>
            <w:pPr>
              <w:pStyle w:val="EMPTY_CELL_STYLE"/>
            </w:pPr>
          </w:p>
        </w:tc>
      </w:tr>
      <w:tr>
        <w:trPr>
          <w:trHeight w:hRule="exact" w:val="3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19宜城F1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18万科MTN001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18首钢MTN002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19联发PPN003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19金川MTN001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21红狮SCP001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18华夏租赁01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18海峡银行01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19华夏租赁01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18赣国资MTN002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20津能源MTN001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20闽电子MTN001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21嘉公路SCP001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21闽漳龙SCP001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18兴业租赁债03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18建信租赁债03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20中关科技CP001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20南昌轨交GN001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21华夏租赁债01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16南京高新MTN001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16宏泰国资MTN001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18中广核租MTN001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18恒信租赁PPN003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18江北建设PPN002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19海通恒信PPN001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21中广核租SCP002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21中文天地SCP001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21桐乡城投SCP001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21济南高新SCP001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21象屿股份SCP002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21招联消费金融债01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20华发大湾ABN005优先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18九江银行绿色金融02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21闽漳龙SCP001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051010100100810699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兴业理财托管专户添利5号净值型理财产品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