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9,584,638,537.86份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产品9C212002自起息日以来，累计净值增长率为3.1450%，年化累计净值增长率为4.0137%。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9,886,029,831.28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周伟君先生，浙江大学经济学硕士， FRM，具有银行间本币交易员资格、上海证券交易所交易员资格，7年金融领域投资经验。2014年起历任浙商银行投资经理、ABS投资经理；曾借调至上海证券交易所参与信用债和ABS发行审核。2020年加入兴银理财，负责多款开放式纯债产品和封闭式产品投资管理。投资风格稳健，根据市场研判灵活调整投资策略，擅长信用债和ABS投资价值挖掘，注重衡量各类投资标的风险收益比。曾在《债券》、《金融市场研究》等专业期刊发表研究论文。</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NCD，春节后市场回暖，产品继续拉长久期，整体获得较好的资本利得。五月下旬资金面波动加大，获利了结了利差压缩至低位的资产，降低组合久期和杠杆，继续转为中性票息策略。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699,860,097.93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21厦门国际银行CD065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20乐清国投CP003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21华鲁控股SCP003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