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8,416,509,223.31份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产品9C212003自起息日以来，累计净值增长率为1.7990%，年化累计净值增长率为3.4927%。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1.01799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1.01799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8,567,880,571.87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899,409,052.24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Z存放同业（线上）20210622003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21中广核SCP001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21重庆农村商行CD120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21南电SCP007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21大连银行CD110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21宝钢SCP009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20闽高速SCP005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21太仓港SCP006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21华鑫证券CP003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21中文天地SCP001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21昆山高新SCP003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21苏州园林SCP004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21苏州高新SCP008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21夏商SCP006(乡村振兴)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