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兴银理财财智人生灵动1号A款净值型理财产品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兴银理财财智人生灵动1号A款净值型理财产品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536,744,263.97份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产品9K211010自起息日以来，累计净值增长率为4.7900%，年化累计净值增长率为5.2034%。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1.04790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1.04790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562,456,720.98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本产品底仓为较高收益的债券，同时配以部分利率衍生品套利策略，力争在确保确定性收益的情况下，增厚产品收益。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兴业期货-财智人生灵动1号单一资产管理计划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33,863,843.57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19豫水利MTN001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21荆门城投PPN001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20常高G1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20曲控一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19TCL03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21郴福01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20云工投SCP003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20盐城东方MTN001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21柳州东通SCP001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21铜梁金龙MTN001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20宜兴城投MTN001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051010100101068813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兴银理财财智人生灵动1号A款净值型理财产品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