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兴银理财灵动全天候15号净值型理财产品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3,063,573,982.95份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2,659,130,997.68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377,227,375.11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金雪球灵动15号陆陆通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27,215,610.16</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产品9K212165自起息日以来，累计净值增长率为1.4070%，年化累计净值增长率为3.1898%。</w:t>
              <w:br/>
              <w:t xml:space="preserve">产品9K212265自起息日以来，累计净值增长率为1.4540%，年化累计净值增长率为3.2963%。</w:t>
              <w:br/>
              <w:t xml:space="preserve">产品9K212365自起息日以来，累计净值增长率为1.4330%，年化累计净值增长率为3.2487%。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3,106,864,086.08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2,696,546,284.12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382,712,176.02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27,605,625.94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本产品底仓为较高收益的债券，同时配以小仓位权益基金，力争在确保确定性收益的情况下，增厚产品收益。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Z浙-同业借款20210205001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东北证券收益凭证-融银61号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35,334,982.33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21复星高科SCP004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21DJLQ01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19鲁能源MTN001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19中石油MTN002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21柳州东投SCP001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21横店SCP002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19中石油MTN002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21山西文旅SCP001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r>
          </w:tbl>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