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兴银理财灵动全天候22号净值型理财产品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1,035,468,364.02份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灵动22号年年升A（业绩报酬计提起点4.2%）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783,084,313.53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灵动22号年年升B（业绩报酬计提起点4.2%）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9K212572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172,543,731.89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金雪球灵动22号年年升（超额计提起点4.2%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9K212672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79,840,318.60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产品9K212472自起息日以来，累计净值增长率为1.5620%，年化累计净值增长率为6.2652%。</w:t>
              <w:br/>
              <w:t xml:space="preserve">产品9K212572自起息日以来，累计净值增长率为1.5800%，年化累计净值增长率为6.3374%。</w:t>
              <w:br/>
              <w:t xml:space="preserve">产品9K212672自起息日以来，累计净值增长率为1.5640%，年化累计净值增长率为6.2732%。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1,051,673,151.45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795,314,959.86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9K212572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175,269,210.15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9K212672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81,088,981.44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整体看多债券、权益维持中性的判断，操作策略上跟观点一致。其中，债券投资方面，债券资产组合3-4月份维持高久期和杠杆，5月份以来略降杠杆和久期获利部分债券收益，主要考虑到历史上5月份债券表现一般不好，同时有供给压力、通胀压力和资金收紧的压力，结果来看部分利空没有出现，部分利空没有很好反应在价格上，更加体现短期债券价格的强势表现；目前债券水平和估值来看，处于历史中位数水平，短期涨幅较大遇到关键阻力位较难突破，同时考虑到之前的一些利空例如通胀没有完全体现在价格之中，后期价格走势较难判断，预计将维持震荡，所以整体产品策略是略降久期和杠杆，主要采取票息和波段操作策略。权益投资方面，预计接下来一段时间还是结构性行情，不确定性会下降，波动可能会偏大，基金选择方面倾向于平衡型、自下而上选股能力较强的基金经理，仓位择时方面，不宜过分乐观也不悲观，仓位维持整体产品中枢水平较合适。</w:t>
            </w:r>
          </w:p>
        </w:tc>
        <w:tc>
          <w:tcPr>
     </w:tcPr>
          <w:p>
            <w:pPr>
              <w:pStyle w:val="EMPTY_CELL_STYLE"/>
            </w:pPr>
          </w:p>
        </w:tc>
        <w:tc>
          <w:tcPr>
     </w:tcPr>
          <w:p>
            <w:pPr>
              <w:pStyle w:val="EMPTY_CELL_STYLE"/>
            </w:pPr>
          </w:p>
        </w:tc>
      </w:tr>
      <w:tr>
        <w:trPr>
          <w:trHeight w:hRule="exact" w:val="1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粤财信托-杭州余杭开发投资集团有限公司（杭州分行）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94,925,785.30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20涪陵05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21硚口国资MTN001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