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兴银理财和鑫财富优享2021年第4期净值型理财产品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产品9K213104自起息日以来，累计净值增长率为1.5000%，年化累计净值增长率为3.7245%。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2,030,003,735.12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4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21CSFD30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051010100101152465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