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8,424,317,626.83份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产品9K219063自起息日以来，累计净值增长率为12.5110%，年化累计净值增长率为9.4741%。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1.05511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1.12511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8,888,589,316.87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334,067,404.78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