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23,402,802,271.08份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12,089,261,488.83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1,438,995,950.15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9,874,544,832.10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产品9K219171自起息日以来，累计净值增长率为3.3350%，年化累计净值增长率为3.2288%。</w:t>
              <w:br/>
              <w:t xml:space="preserve">产品9K219271自起息日以来，累计净值增长率为3.4470%，年化累计净值增长率为3.5743%。</w:t>
              <w:br/>
              <w:t xml:space="preserve">产品9K219371自起息日以来，累计净值增长率为0.7770%，年化累计净值增长率为3.3365%。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23,932,319,914.30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12,492,449,405.96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1,488,603,768.07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9,951,266,740.27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8,095,143,692.59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2,099,820,018.00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1,587,773,601.59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存放同业20200831001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