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3,985,792,272.22份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产品9K220003自起息日以来，累计净值增长率为10.7000%，年化累计净值增长率为9.4108%。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1.07700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1.10700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4,292,684,099.57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398,726,825.91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19,296,969.00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18招商G8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华宝新价值（001324.OF）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59,844,871.66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海富通安益对冲A( 008831.OF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85,705,170.94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