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兴银理财财智人生ESG1号净值型理财产品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兴银理财财智人生ESG1号净值型理财产品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499,997,589.15份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4.00%-4.60%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产品9K220901自起息日以来，累计净值增长率为3.2640%，年化累计净值增长率为4.2549%。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1.03264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1.03264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516,317,989.17</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Z京-同业借款20200925001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19福新能源MTN002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20天津轨交CP004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17中投F2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18陕交建MTN004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G19贵水1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21武汉碧水GN001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21龙岩水务CP001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20衡阳水投MTN001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19湖交01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3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21南电GN001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21武汉碧水GN001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19福新能源MTN002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051010100101090412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兴银理财财智人生ESG1号净值型理财产品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