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兴银理财兴合添汇1号混合类净值型理财产品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兴银理财兴合添汇1号混合类净值型理财产品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10,291,638,214.36份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产品9K221003自起息日以来，累计净值增长率为1.6700%，年化累计净值增长率为5.8052%。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1.01670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1.01670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10,463,477,637.61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8年，曾在中国金融期货交易所工作，为股指期货、股指期权的开发和上市的核心团队成员，在量化投资和衍生品投资方面具有丰富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 </w:t>
              <w:br/>
              <w:t xml:space="preserve">    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汇添富-兴汇100号集合资产管理计划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10,284,396,058.54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051010100101175870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3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