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兴业银行金雪球添利快线净值型理财产品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14</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14</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兴业银行股份有限公司保留对所有文字说明的最终解释权。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兴业银行金雪球添利快线净值型理财产品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97318011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C1030918A003606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71,471,194,655.77份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兴业银行股份有限公司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14</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报告期内，97318011七日年化收益率均值2.8986%。同期业绩比较基准如下：</w:t>
            </w: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2021-07-01至2021-09-30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0.9125</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3.1870%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71,471,194,655.77</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施颖女士，清华大学理学学士、金融学硕士，中级经济师，具有银行间本币市场交易员资格。2013年加入兴业银行以来，历任货币市场交易员、债券投资经理、理财产品组合投资经理，6年固定收益市场投资交易经验，善于大资金的资产配置和流动性管理。2015年起从事理财产品投资组合管理工作，2018年起担任兴业银行金雪球添利快线净值型理财产品投资经理，2021年起担任兴业银行“现金宝-添利1号”净值型理财产品、兴银理财添利8号净值型理财产品、兴银理财日日新1号净值型理财产品投资经理。</w:t>
              <w:br/>
              <w:t xml:space="preserve">    李刚刚先生，清华大学工学学士、硕士，具有银行间本币市场交易员资格。2020年加入兴银理财从事理财产品投资组合管理工作，协助管理总规模逾千亿，善于大资金的资产配置和流动性管理。2020年起担任兴业银行“现金宝-添利1号”净值型理财产品、兴业银行金雪球添利快线净值型理财产品、兴银理财添利8号净值型理财产品和兴银理财日日新1号净值型理财产品投资经理助理。</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3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1、宏观经济及市场情况</w:t>
              <w:br/>
              <w:t xml:space="preserve">    三季度国内经济增长动能放缓，数据整体偏弱，国内基本面继续向“类滞胀”演绎。受能耗“双控”、缺煤缺电、大宗涨价等因素制约，制造业中下游成本压力增大，需求端社融持续下行，结构性问题凸显，受部分地产企业负面事件冲击和隐债监管的影响房地产和基建增速均出现明显回落，供需两弱。外部因素上，7月中旬以来Delta病毒输入性疫情扩散，对经济基本面尤其消费服务造成一定影响。央行7月实施全面降准，三季度银行间流动性整体充裕，临近季末资金面有所收敛，以稳为主。经济放缓压力增大，疫情尾部风险仍存，叠加资金面和机构“欠配”行为等诸多因素影响，三季度市场收益率整体下行，10Y国债到期收益率下行30bp至最低2.8%后，因信用收缩及季末资金面短暂失衡的影响，短期震荡回调后在2.8%-2.9%区间波动。债市整体收益率水平较低的背景下，银行永续债、私募债等品种受监管规定的影响利差有所走阔。</w:t>
              <w:br/>
              <w:t xml:space="preserve">    展望四季度，央行三季度例会强调“外部环境更趋严峻复杂”，经济仍面临下行压力，四季度货币政策基调维持稳健中性为基本面托底，维持经济增速运行在合理区间。但我们认为四季度货币政策以结构性宽松为主，结合财政政策发力，降息概率不大。海外方面，美联储QE退出和美债收益率上行等外部风险对国内债市可能造成一定冲击。</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14</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2、前期运作回顾</w:t>
              <w:br/>
              <w:t xml:space="preserve">    报告期内（2021.7.1-2021.9.30），本产品始终将保持流动性安全和防范信用风险作为第一要务，结合产品波动情况，以稳健的投资实现相对稳定的收益。在资产配置上，新增投资主要以高等级信用债、同业存单、同业存放、资产支持证券为主，保证产品流动性安全的同时兼顾组合收益，严格控制信用风险和利率风险。在投资策略上以票息策略为主，积极把握市场调整时的买入机会，杠杆及交易性策略为辅，在市场利率低点获利了结，同时融入长期限负债锁定杠杆收益，努力提升产品收益。</w:t>
              <w:br/>
              <w:t xml:space="preserve">3、后期投资策略</w:t>
              <w:br/>
              <w:t xml:space="preserve">    下阶段本产品依然会保持安全性和流动性优先、兼顾收益性的稳健投资策略，为客户创造稳定的收益回报。我们会深入研究分析宏观经济运行规律和利率变化趋势，综合考量各投资品种的风险收益特征，并结合已颁布的《关于规范现金管理类理财产品管理有关事项的通知》的相关要求，在此基础上自上而下地制定科学有效的投资策略。</w:t>
              <w:br/>
              <w:t xml:space="preserve">    在具体投资策略上，关注市场调整机会，四季度利率债供给冲击、社融增速企稳回升、理财整改、美联储QE退出以及年末因素等可能带来的扰动，把握投资窗口期，以短久期、高评级的债券和货币市场工具为主要投资标的，严防信用风险，策略上以票息策略为主，杠杆策略为辅。投资品种的选择上，会结合产品的波动性特征，并综合考虑同业存单、中高等级信用债、资产支持证券等品种的收益性和流动性，遴选优质投资标的。流动性管理方面，我们将密切关注市场资金面情况和产品申购赎回情况，合理分配现金流，确保年末的流动性安全。此外，我们将持续按照现金管理类产品新规要求对组合进行调整。</w:t>
            </w: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3200"/>
              <w:gridCol w:w="4000"/>
              <w:gridCol w:w="2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21.98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77.89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14</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建设银行深圳分行活期存款（约期）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建设银行深圳分行活期存款（约期）-3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建设银行深圳分行活期存款（约期）-2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21CSFD157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993,048,659.38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存放同业20210923001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中原银行大额存单20190321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存放同业20210927003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存放同业20210408003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存放同业20210927001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w:t>
                        </w:r>
                      </w:p>
                    </w:tc>
                  </w:tr>
                </w:tbl>
                <w:p>
                  <w:pPr>
                    <w:pStyle w:val="EMPTY_CELL_STYLE"/>
                  </w:pPr>
                </w:p>
              </w:tc>
            </w:tr>
          </w:tbl>
          <w:p>
            <w:pPr>
              <w:pStyle w:val="EMPTY_CELL_STYLE"/>
            </w:pPr>
          </w:p>
        </w:tc>
        <w:tc>
          <w:tcPr>
     </w:tcPr>
          <w:p>
            <w:pPr>
              <w:pStyle w:val="EMPTY_CELL_STYLE"/>
            </w:pPr>
          </w:p>
        </w:tc>
      </w:tr>
      <w:tr>
        <w:trPr>
          <w:trHeight w:hRule="exact" w:val="3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14</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17象屿MTN002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17象屿MTN004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18徐矿MTN002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19新投MTN003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20国联MTN002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21夏商MTN001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21格盟SCP001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21横店SCP002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21湘投SCP002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21屹腾3优先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161,766,000.00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18海峡银行01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19华夏租赁01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19厦门银行03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21凤城河CP001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21金龙湖CP001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14宿产发MTN001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15津城建MTN001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16陕煤化MTN001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17中节能MTN001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18北部湾MTN002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14</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18晋焦煤MTN005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18烟台港MTN001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18甘国投MTN002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18苏国信MTN004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18鄂联投MTN002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19厦国贸MTN001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19川高速MTN001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19晋焦煤MTN004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19陕延油MTN001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20哈城投MTN002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20太不锈MTN001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20扬城建PPN001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20浦银租赁债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20湖北租赁债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20苏沙钢MTN001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20闽电子MTN001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21华侨城SCP003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21晋交投SCP002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21珠海港SCP012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21鄂长投MTN001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14</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21闽漳龙SCP004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21陕煤化SCP006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21鲁能源SCP003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21鲁黄金SCP007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21屹腾1优先_bc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188,460,000.00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18兴业租赁债02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19华融租赁债01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21武汉碧水GN001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21汇理汽车债02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21湖北租赁债01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21阜阳投资CP001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21香城投资CP001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17宿州城投MTN001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17徐州高新MTN001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17陕西能源MTN002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17陕西能源MTN003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18中交建融MTN001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18中广核租MTN001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18广州高新MTN002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18江北产投MTN002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18滁州城投MTN001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18福建漳州MTN001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14</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18陕投集团MTN006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18高速路桥MTN001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19中建投租MTN001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19宜兴城投PPN002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19建发地产PPN001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19漳州交运MTN001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19物产中大MTN001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19西南水泥MTN001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19鄂州城投MTN002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19龙城投资MTN001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20东南国资MTN001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20南京浦口PPN007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20南昌城投PPN001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20宁乡城投PPN002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20平安不动MTN002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20张江高科MTN001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20徐州新盛PPN001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20椒江国资MTN001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20武进经发MTN001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20汉江国资MTN002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10/</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14</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10" w:name="JR_PAGE_ANCHOR_0_11"/>
            <w:bookmarkEnd w:id="1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20江宁国资PPN001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20泰州城投PPN003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20济南高新PPN001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20浙商资产PPN002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20港闸国资MTN001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20滨江房产MTN003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20盐城东方MTN001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20芙蓉城投MTN001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20迪荡新投MTN002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21中交城投SCP001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21中航租赁MTN002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21佛山金融SCP001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21南京滨江SCP001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21厦门市政MTN001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21吴中国太SCP005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21国新保理SCP001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21如皋经开SCP001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21宜兴城投MTN001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21宜兴城投PPN001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14</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11" w:name="JR_PAGE_ANCHOR_0_12"/>
            <w:bookmarkEnd w:id="1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21宜兴城投PPN002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21宿迁交通SCP003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21山东金融MTN001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21平安不动MTN001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21惠山国投MTN001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21拱墅国投SCP001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21桐乡城投SCP001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21武汉港航MTN001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21泉州城建MTN001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21泉州文旅SCP001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21泉州金控SCP001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21浦口康居MTN001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21湖南轨道MTN001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21珠海港股MTN002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21福耀玻璃SCP003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21福耀玻璃SCP004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21苏州园林SCP005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21融和融资PPN001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21象屿股份SCP005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21青岛国信SCP004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19象屿ABN001优先B</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19兴业消费金融债01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12/</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14</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12" w:name="JR_PAGE_ANCHOR_0_13"/>
            <w:bookmarkEnd w:id="1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21兴业租赁绿色债02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21金牛象屿ABN001优先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18九江银行绿色金融02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19柯桥国资ABN001优先A3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18,355,328.00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19柯桥国资ABN001优先A4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19柯桥国资ABN001优先A5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19柯桥国资ABN001优先A6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19柯桥国资ABN001优先A7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19柯桥国资ABN001优先A8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21夏商SCP006(乡村振兴)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21夏商SCP009(乡村振兴)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20中国信达债02BC(品种一)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21青岛海控PPN001(权益出资)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21宜兴城投MTN001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20兴业消费金融债01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兴业消费金融股份公司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14</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13" w:name="JR_PAGE_ANCHOR_0_14"/>
            <w:bookmarkEnd w:id="1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051010100100569000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兴业银行理财托管专户金雪球添利快线净值型理财产品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14</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