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兴银理财和鑫财富悦享1号E款净值型理财产品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兴银理财和鑫财富悦享1号E款净值型理财产品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产品9B214150自起息日以来，累计净值增长率为2.2070%，年化累计净值增长率为4.0891%。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1.02207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1.02207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214,634,662.60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Z京-同业借款20210319002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兴银理财和鑫财富悦享1号E款净值型理财产品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