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32,867,136,299.09份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报告期内，9B310006七日年化收益率均值3.0898%。同期业绩比较基准如下：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2021-07-01至2021-09-30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0.8124</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3.0740%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32,867,136,299.09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2年固定收益投资交易经验。2017年加入兴业银行以来，从事理财产品投资组合管理工作，协助管理总规模逾千亿，善于大资金的资产配置和流动性管理。2020年起担任“兴业银行添利3号净值型理财产品”和“兴业银行添利新私享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三季度国内经济增长动能放缓，数据整体偏弱，国内基本面继续向“类滞胀”演绎。受能耗“双控”、缺煤缺电、大宗涨价等因素制约，制造业中下游成本压力增大，需求端社融持续下行，结构性问题凸显，受部分地产企业负面事件冲击和隐债监管的影响房地产和基建增速均出现明显回落，供需两弱。外部因素上，7月中旬以来Delta病毒输入性疫情扩散，对经济基本面尤其消费服务造成一定影响。央行7月实施全面降准，三季度银行间流动性整体充裕，临近季末资金面有所收敛，以稳为主。经济放缓压力增大，疫情尾部风险仍存，叠加资金面和机构“欠配”行为等诸多因素影响，三季度市场收益率整体下行，10Y国债到期收益率下行30bp至最低2.8%后，因信用收缩及季末资金面短暂失衡的影响，短期震荡回调后在2.8%-2.9%区间波动。债市整体收益率水平较低的背景下，银行永续债、私募债等品种受监管规定的影响利差有所走阔。</w:t>
              <w:br/>
              <w:t xml:space="preserve">    展望四季度，央行三季度例会强调“外部环境更趋严峻复杂”，经济仍面临下行压力，四季度货币政策基调维持稳健中性为基本面托底，维持经济增速运行在合理区间。但我们认为四季度货币政策以结构性宽松为主，结合财政政策发力，降息概率不大。海外方面，美联储QE退出和美债收益率上行等外部风险对国内债市可能造成一定冲击。</w:t>
              <w:br/>
              <w:t xml:space="preserve">2、前期运作回顾</w:t>
              <w:br/>
              <w:t xml:space="preserve">    报告期内（2021.7.1-2021.9.30）本产品规模小幅增长，在保障产品流动性安全的基础上通过积极主动建仓和增加杠杆来增厚收益。组合构建上以中高等级短信用债、同业存单和存放同业等低风险资产为主。投资策略方面，在票息策略的基础上把握利率下行机会增厚收益，负债端适时融入低成本资金锁定杠杆成本，整体维持中性杠杆水平。力争为投资者实现相对稳定的收益。</w:t>
              <w:br/>
              <w:t xml:space="preserve">3、后期投资策略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下阶段本产品依然会保持安全性和流动性优先、兼顾收益性的稳健投资策略，为客户创造稳定的收益回报。我们会深入研究分析宏观经济运行规律和利率变化趋势，综合考量各投资品种的风险收益特征，并结合已颁布的《关于规范现金管理类理财产品管理有关事项的通知》的相关要求，在此基础上自上而下地制定科学有效的投资策略。</w:t>
              <w:br/>
              <w:t xml:space="preserve">    在具体投资策略上，关注市场调整机会，四季度利率债供给冲击、社融增速企稳回升、理财整改、美联储QE退出以及年末因素等可能带来的扰动，把握投资窗口期，以短久期、高评级的债券和货币市场工具为主要投资标的，严防信用风险，策略上以票息策略为主，杠杆策略为辅。投资品种的选择上，会结合产品的波动性特征，并综合考虑同业存单、中高等级信用债、资产支持证券等品种的收益性和流动性，遴选优质投资标的。流动性管理方面，我们将密切关注市场资金面情况和产品申购赎回情况，合理分配现金流，确保年末的流动性安全。此外，我们将持续按照现金管理类产品新规要求对组合进行调整。</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21杭州银行CD059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Z存放同业（线上）20210917007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Z存放同业（线上）20210414001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21重庆银行CD045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Z存放同业（线上）20210413002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19华润MTN005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16云能投PPN001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17中节能MTN001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17合建投MTN002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21泸州窖SCP001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19川能投MTN004A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20太湖新城CP001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16锦江国际MTN002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18华发实业MTN001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19越秀集团MTN001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21福州交投SCP001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21青岛海湾SCP001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