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兴银理财安愉乐享2号混合类净值型理财产品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兴银理财安愉乐享2号混合类净值型理财产品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229,563,481.13份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安愉乐享2号A（业绩报酬计提起点4.5%）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194,686,481.13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安愉乐享2号B（业绩报酬计提起点4.5%）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9K212202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34,877,000.00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产品9K212102自起息日以来，累计净值增长率为3.3860%，年化累计净值增长率为3.3223%。</w:t>
              <w:br/>
              <w:t xml:space="preserve">产品9K212202自起息日以来，累计净值增长率为3.4910%，年化累计净值增长率为3.4253%。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237,373,058.28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201,278,473.62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36,094,584.66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权益市场回顾：回顾2021年三季度，从市场结构上看，三季度权益市场总体表现不佳，周期风格相对优势较为明显。1）A 股市场仅中证 500 指数小幅上涨，中小创、深证成指、上证综指、上证 50 及沪深 300 指数在三季度均有不同程度的下跌。2）分行业来看，受大 宗商品价格上涨支撑，采掘、有色金属、钢铁、化工等周期属性较强的行业涨幅超过 10%，公用事业重回高位跑赢市场，国防军工、机械设备、电气设备延续二季度的增长势头，而上季度涨幅较大的汽车、电子、 医药生物、食品饮料等行业则有所下跌。</w:t>
              <w:br/>
              <w:t xml:space="preserve">    债券市场回顾：1）今年三季度，资金面持续宽松，7 月上旬央行意外降准，国债及信 用债收益率大幅下行，然而 8 月末开始，银行理财监管趋严，引发了对银行二级资本债和永续债的抛压， 与此同时地方政府债券发行提速，债券供给压力下，银行超储率有所下降，9 月资金面波动明显加大，信 用债收益率较降准之后的低点上行近 30BP，利率债长端收益率亦小幅上行。</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24,779,462.78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21,093,486.33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7,957,602.13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6,111,858.19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4,674,614.31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7,066,431.09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汇添富可转债A ( 470058.OF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3,089,083.42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兴银理财安愉乐享2号混合类净值型理财产品</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兴银理财安愉乐享2号混合类净值型理财产品2021年第三季度报告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