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1,298,680,267.33份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1,112,767,742.15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185,912,525.18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产品9K212152自起息日以来，累计净值增长率为3.5940%，年化累计净值增长率为3.8134%。</w:t>
              <w:br/>
              <w:t xml:space="preserve">产品9K212252自起息日以来，累计净值增长率为3.6710%，年化累计净值增长率为3.8951%。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1,345,494,620.07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1,152,757,112.20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192,737,507.87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短期权益市场波动加大，板块风格轮到加快，整体来看结构性行情预计延续，货币政策阶段性不会收紧，无系统性风险的情况下大幅下跌风险不大；策略方面，仓位维持中性继续调结构，三季度金融地产和价值类等持仓继续低配，加仓配置新能源、高端制造等热点成长板块顺势而为，同时配置一定指数增强和ETF类仓位等分散持仓。</w:t>
              <w:br/>
              <w:t xml:space="preserve">    债券方面，中期战略上继续看多 ，短期涨幅较大速度较快，不宜追涨，如果有回调机会就择机加仓，目前仓位和久期都不算低，所以可以耐心持仓。</w:t>
              <w:br/>
              <w:t xml:space="preserve">    分析来看一方面利率大幅下行特别是较强的降准预期，技术上和历史规律上看都有回调压力；另一方面从债券期限结构和信用价差来看，短期继续大举做多安全边际不高，利率曲线持续平坦化，国开隐含税率偏低，信用溢价大幅收窄，特别是我们关注的IRS与信用债的利差被压缩至低位，表明市场做多情绪短期达到了较高的位置水平，一旦有回调我们没有太好的对冲手段风险较大。当然，无论是驱动还是趋势继续维持向好，所以也不用过分谨慎，策略上短期维持中性偏高仓位顺势而为即可。</w:t>
              <w:br/>
              <w:t xml:space="preserve">    衍生品策略方面，开户等基础工作梳理清楚，策略专户也上线平稳运作，后期积极开展相关策略交易。</w:t>
              <w:b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br/>
              <w:t xml:space="preserve">    半年期产品，根据客户需求改变操作思路，不采用全天候多策略，采用类固收策略，70%以上成本类估值资产+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部分绝对收益、二级债基增强弹性。1Y产品，除了悦动系列，其他全天候系列还是采取多资产策略模式，做绝对收益。目前权益和债券基本都标配，根据我们对于市场的判断，权益调结构警惕回调风险准备对冲，债券逢低择机加仓。2-3Y产品，整体思路一致，从较长时间维度权益市场相对可以更乐观一点，权益和债券资产未来都看好，都维持略微中高配置。调整杠杆和债券持仓结构。二季度利率市场大幅下行，静态收益率下行幅度较大，逐步换券，调整债券久期和收益率至合适水平，除了换券也要积极运行衍生品工具。杠杆方面，银行间回购逐步转移到交易所。目前80%左右回购已转移至交易所，主要解决交易所质押券问题。</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47,572,787.82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35,570,224.47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21鲁高速MTN002(乡村振兴)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兴业聚盈灵活配置混合型证券投资基金（002494）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21,613,112.39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万家瑞祥A( 001633.OF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26,739,459.84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23,688,408.09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