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2,006,602,689.05份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1,721,031,939.03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262,559,539.47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23,011,210.55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产品9K212162自起息日以来，累计净值增长率为2.1150%，年化累计净值增长率为2.8805%。</w:t>
              <w:br/>
              <w:t xml:space="preserve">产品9K212262自起息日以来，累计净值增长率为2.1780%，年化累计净值增长率为2.9663%。</w:t>
              <w:br/>
              <w:t xml:space="preserve">产品9K212362自起息日以来，累计净值增长率为2.1500%，年化累计净值增长率为2.9282%。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2,049,215,724.92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1,757,430,699.03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268,279,111.73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23,505,914.16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中海苏兴22号单一资金信托（南京分行 扬州市江都沿江开发有限公司）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130,050,286.11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105,677,778.85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20化学Y1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40,804,155.89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