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兴银理财和鑫财富优享2021年第4期净值型理财产品2021年第三季度报告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兴银理财和鑫财富优享2021年第4期净值型理财产品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兴银理财和鑫财富优享2021年第4期净值型理财产品2021年第三季度报告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兴银理财和鑫财富优享2021年第4期净值型理财产品2021年第三季度报告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兴银理财和鑫财富优享2021年第4期净值型理财产品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兴银理财和鑫财富优享2021年第4期净值型理财产品2021年第三季度报告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产品9K213104自起息日以来，累计净值增长率为2.4590%，年化累计净值增长率为3.7554%。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1.02459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1.02459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2,049,179,385.21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三季度债券收益率先下后上，多空因素交织。1、7月初央行意外降准0.5%扭转前期收紧预期，市场普遍预期后续降准操作，10年国债收益率从3.1%持续下行突破至2.8%附近；2、8月以来，市场降准预期落空，资金利率中枢未见明显下移，季末因素扰动下短端收益率持续反弹；黑色系为代表的大众商品价格连创新高，通胀预期愈演愈烈，长端下行受阻。3、监管机构对理财产品估值方法进行窗口指导，要求债券投资应优先使用市值法估值，存量成本法估值资产逐步压降整改，信用债收益率上行超过30bp，永续、二级资本债等品种利差持续走扩。目前，债券市场基本回吐央行降准之后的涨幅，10年国债收益率反弹至2.96%。</w:t>
              <w:br/>
              <w:t xml:space="preserve">    展望四季度，我们整体保持中性略偏乐观的态度。宏观经济方面，9月制造业PMI跌破荣枯线，消费恢复持续不及预期，房地产走弱趋势明显，经济动能放缓压力增大。当前经济形势呈现类滞胀格局，货币政策宽松空间有限；票据转贴现月末突击冲量、地产融资不放松显示宽信用落地缓慢。利率估值方面，当前债券收益率处于20%历史分位数之下，绝对收益率水平仍然偏低，信用利差、品种利差存在继续走扩风险。债券市场预计呈现震荡格局，债券估值整改和资管新规过渡期结束，债券市场波动可能加大，把握市场超调带来的配置机会。</w:t>
              <w:br/>
              <w:t xml:space="preserve">    二、三季度运作回顾</w:t>
              <w:br/>
              <w:t xml:space="preserve">    2021年三季度，债券市场先下后上。央行意外降准推动收益率曲线陡峭化下行，但是理财监管、债券供给压力等因素叠加下收益率曲线平坦化上行。三季度以票息策略为主，央行降准后顺势而为，适当拉长组合久期和提高产品杠杆策略，捕捉高等级信用债和同业存单的波动交易机会。</w:t>
              <w:br/>
              <w:t xml:space="preserve">    三、四季度投资策略</w:t>
              <w:br/>
              <w:t xml:space="preserve">    四季度产品投资延续稳健风格，把握住利率反弹时的配置机会。开放式产品注重票息保护，优化资产配置结构，估值整改背景下控制产品收益波动。专户产品保持久期中性，积极运用杠杆策略，把握行业利差、区域利差变化的收益挖掘机会。</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兴银理财和鑫财富优享2021年第4期净值型理财产品2021年第三季度报告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21CSFD30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兴银理财和鑫财富优享2021年第4期净值型理财产品2021年第三季度报告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051010100101152465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兴银理财和鑫财富优享2021年第4期净值型理财产品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