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5,782,202,912.62份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产品9K218067自起息日以来，累计净值增长率为9.4150%，年化累计净值增长率为4.3777%。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1.00453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1.09415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5,808,410,796.44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15国开18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20兖东01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20青岛财富PPN001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21西高科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20广州城投MTN003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21招证C1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16云能投PPN001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19东湖高新PPN001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19潍坊滨投MTN002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21湖南农业MTN001（乡村振兴）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