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兴业银行天天万利宝稳利5号净值型理财产品P款</w:t>
              <w:br/>
              <w:t xml:space="preserve">2021年第三季度报告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报告送出日期：2021年10月27日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33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5"/>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兴业银行天天万利宝稳利5号净值型理财产品P款</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9K219058</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Z7002020000073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封闭式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3,352,447,000份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4.00%-6.50%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R3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3"/>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1800"/>
        </w:trPr>
        <w:tc>
          <w:tcPr>
     </w:tcPr>
          <w:p>
            <w:pPr>
              <w:pStyle w:val="EMPTY_CELL_STYLE"/>
            </w:pPr>
          </w:p>
        </w:tc>
        <w:tc>
          <w:tcPr>
            <w:gridSpan w:val="5"/>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0" w:type="dxa"/>
              <w:right w:w="0" w:type="dxa"/>
            </w:tcMar>
          </w:tcPr>
          <w:tbl>
            <w:tblPr>
              <w:tblLayout w:type="fixed"/>
            </w:tblPr>
            <w:tblGrid>
              <w:gridCol w:w="3000"/>
              <w:gridCol w:w="3600"/>
              <w:gridCol w:w="4100"/>
            </w:tblGrid>
            <w:tr>
              <w:trPr>
                <w:trHeight w:hRule="exact" w:val="580"/>
              </w:trPr>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2980"/>
                    <w:gridCol w:w="20"/>
                  </w:tblGrid>
                  <w:tr>
                    <w:trPr>
                      <w:trHeight w:hRule="atLeast" w:val="580"/>
                    </w:trPr>
                    <w:tc>
                      <w:tcPr>
                        <w:tcMar>
                          <w:top w:w="0" w:type="dxa"/>
                          <w:left w:w="0" w:type="dxa"/>
                          <w:bottom w:w="0" w:type="dxa"/>
                          <w:right w:w="0" w:type="dxa"/>
                        </w:tcMar>
                        <w:vAlign w:val="center"/>
                      </w:tcPr>
                      <w:p>
                        <w:pPr>
                          <w:ind w:firstLine="0"/>
                          <w:jc w:val="center"/>
                        </w:pPr>
                        <w:r>
                          <w:rPr>
                            <w:rFonts w:ascii="宋体" w:hAnsi="宋体" w:eastAsia="宋体" w:cs="宋体"/>
                            <w:color w:val="000000"/>
                            <w:sz w:val="21"/>
                          </w:rPr>
                          <w:t xml:space="preserve">下属子产品的产品简称</w:t>
                        </w:r>
                      </w:p>
                    </w:tc>
                    <w:tc>
                      <w:tcPr>
     </w:tcPr>
                      <w:p>
                        <w:pPr>
                          <w:pStyle w:val="EMPTY_CELL_STYLE"/>
                        </w:pPr>
                      </w:p>
                    </w:tc>
                  </w:tr>
                </w:tbl>
                <w:p>
                  <w:pPr>
                    <w:pStyle w:val="EMPTY_CELL_STYLE"/>
                  </w:pPr>
                </w:p>
              </w:tc>
              <w:tc>
                <w:tcPr>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80"/>
                    </w:trPr>
                    <w:tc>
                      <w:tcPr>
                        <w:tcMar>
                          <w:top w:w="0" w:type="dxa"/>
                          <w:left w:w="0" w:type="dxa"/>
                          <w:bottom w:w="0" w:type="dxa"/>
                          <w:right w:w="0" w:type="dxa"/>
                        </w:tcMar>
                        <w:vAlign w:val="center"/>
                      </w:tcPr>
                      <w:p>
                        <w:pPr>
                          <w:ind w:firstLine="200"/>
                          <w:jc w:val="center"/>
                        </w:pPr>
                        <w:r>
                          <w:rPr>
                            <w:rFonts w:ascii="宋体" w:hAnsi="宋体" w:eastAsia="宋体" w:cs="宋体"/>
                            <w:color w:val="000000"/>
                            <w:sz w:val="21"/>
                          </w:rPr>
                          <w:t xml:space="preserve">下属子产品的产品代码</w:t>
                        </w:r>
                      </w:p>
                    </w:tc>
                  </w:tr>
                </w:tbl>
                <w:p>
                  <w:pPr>
                    <w:pStyle w:val="EMPTY_CELL_STYLE"/>
                  </w:pPr>
                </w:p>
              </w:tc>
              <w:tc>
                <w:tcPr>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80"/>
                    </w:trPr>
                    <w:tc>
                      <w:tcPr>
                        <w:tcMar>
                          <w:top w:w="0" w:type="dxa"/>
                          <w:left w:w="0" w:type="dxa"/>
                          <w:bottom w:w="0" w:type="dxa"/>
                          <w:right w:w="20" w:type="dxa"/>
                        </w:tcMar>
                        <w:vAlign w:val="center"/>
                      </w:tcPr>
                      <w:p>
                        <w:pPr>
                          <w:ind w:firstLine="200"/>
                          <w:jc w:val="center"/>
                        </w:pPr>
                        <w:r>
                          <w:rPr>
                            <w:rFonts w:ascii="宋体" w:hAnsi="宋体" w:eastAsia="宋体" w:cs="宋体"/>
                            <w:color w:val="000000"/>
                            <w:sz w:val="21"/>
                          </w:rPr>
                          <w:t xml:space="preserve">报告期末下属子产品的产品份额总数</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稳利增盈优选7号A</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9K219158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2,725,349,000.00</w:t>
                        </w:r>
                      </w:p>
                    </w:tc>
                  </w:tr>
                </w:tbl>
                <w:p>
                  <w:pPr>
                    <w:pStyle w:val="EMPTY_CELL_STYLE"/>
                  </w:pPr>
                </w:p>
              </w:tc>
            </w:tr>
            <w:tr>
              <w:trPr>
                <w:trHeight w:hRule="exact" w:val="580"/>
              </w:trPr>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000"/>
                    <w:gridCol w:w="3000"/>
                  </w:tblGrid>
                  <w:tr>
                    <w:trPr>
                      <w:trHeight w:hRule="atLeast" w:val="560"/>
                    </w:trPr>
                    <w:tc>
                      <w:tcPr>
                        <w:tcMar>
                          <w:top w:w="0" w:type="dxa"/>
                          <w:left w:w="0" w:type="dxa"/>
                          <w:bottom w:w="20" w:type="dxa"/>
                          <w:right w:w="0" w:type="dxa"/>
                        </w:tcMar>
                        <w:vAlign w:val="center"/>
                      </w:tcPr>
                      <w:p>
                        <w:pPr>
                          <w:ind w:firstLine="0"/>
                          <w:jc w:val="center"/>
                        </w:pPr>
                        <w:r>
                          <w:rPr>
                            <w:rFonts w:ascii="宋体" w:hAnsi="宋体" w:eastAsia="宋体" w:cs="宋体"/>
                            <w:color w:val="000000"/>
                            <w:sz w:val="21"/>
                          </w:rPr>
                          <w:t xml:space="preserve">稳利增盈优选7号B(私行专属，名单制销售)</w:t>
                        </w:r>
                      </w:p>
                    </w:tc>
                  </w:tr>
                </w:tbl>
                <w:p>
                  <w:pPr>
                    <w:pStyle w:val="EMPTY_CELL_STYLE"/>
                  </w:pPr>
                </w:p>
              </w:tc>
              <w:tc>
                <w:tcPr>
                  <w:shd w:val="clear" w:color="auto" w:fill="FFFFFF"/>
                  <w:tcBorders>
                    <w:top w:val="single" w:sz="2" w:space="0" w:color="000000"/>
                    <w:left w:val="single" w:sz="2" w:space="0" w:color="000000"/>
                    <w:bottom w:val="single" w:sz="2" w:space="0" w:color="000000"/>
                    <w:right w:val="single" w:sz="2" w:space="0" w:color="000000"/>
                  </w:tcBorders>
                  <w:tcMar>
                    <w:top w:w="0" w:type="dxa"/>
                    <w:left w:w="0" w:type="dxa"/>
                    <w:bottom w:w="20" w:type="dxa"/>
                    <w:right w:w="0" w:type="dxa"/>
                  </w:tcMar>
                </w:tcPr>
                <w:tbl>
                  <w:tblPr>
                    <w:tblLayout w:type="fixed"/>
                  </w:tblPr>
                  <w:tblGrid>
                    <w:gridCol w:w="3600"/>
                    <w:gridCol w:w="36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9K219258</w:t>
                        </w:r>
                      </w:p>
                    </w:tc>
                  </w:tr>
                </w:tbl>
                <w:p>
                  <w:pPr>
                    <w:pStyle w:val="EMPTY_CELL_STYLE"/>
                  </w:pPr>
                </w:p>
              </w:tc>
              <w:tc>
                <w:tcPr>
                  <w:shd w:val="clear" w:color="auto" w:fill="FFFFFF"/>
                  <w:tcBorders>
                    <w:top w:val="single" w:sz="2" w:space="0" w:color="000000"/>
                    <w:left w:val="single" w:sz="2" w:space="0" w:color="000000"/>
                    <w:bottom w:val="single" w:sz="2" w:space="0" w:color="000000"/>
                  </w:tcBorders>
                  <w:tcMar>
                    <w:top w:w="0" w:type="dxa"/>
                    <w:left w:w="0" w:type="dxa"/>
                    <w:bottom w:w="20" w:type="dxa"/>
                    <w:right w:w="0" w:type="dxa"/>
                  </w:tcMar>
                </w:tcPr>
                <w:tbl>
                  <w:tblPr>
                    <w:tblLayout w:type="fixed"/>
                  </w:tblPr>
                  <w:tblGrid>
                    <w:gridCol w:w="4100"/>
                    <w:gridCol w:w="4100"/>
                  </w:tblGrid>
                  <w:tr>
                    <w:trPr>
                      <w:trHeight w:hRule="atLeast" w:val="560"/>
                    </w:trPr>
                    <w:tc>
                      <w:tcPr>
                        <w:tcMar>
                          <w:top w:w="0" w:type="dxa"/>
                          <w:left w:w="0" w:type="dxa"/>
                          <w:bottom w:w="20" w:type="dxa"/>
                          <w:right w:w="0" w:type="dxa"/>
                        </w:tcMar>
                        <w:vAlign w:val="center"/>
                      </w:tcPr>
                      <w:p>
                        <w:pPr>
                          <w:ind w:firstLine="200"/>
                          <w:jc w:val="center"/>
                        </w:pPr>
                        <w:r>
                          <w:rPr>
                            <w:rFonts w:ascii="宋体" w:hAnsi="宋体" w:eastAsia="宋体" w:cs="宋体"/>
                            <w:color w:val="000000"/>
                            <w:sz w:val="21"/>
                          </w:rPr>
                          <w:t xml:space="preserve">627,098,000.00</w:t>
                        </w:r>
                      </w:p>
                    </w:tc>
                  </w:tr>
                </w:tbl>
                <w:p>
                  <w:pPr>
                    <w:pStyle w:val="EMPTY_CELL_STYLE"/>
                  </w:pPr>
                </w:p>
              </w:tc>
            </w:tr>
          </w:tbl>
          <w:p>
            <w:pPr>
              <w:pStyle w:val="EMPTY_CELL_STYLE"/>
            </w:pPr>
          </w:p>
        </w:tc>
        <w:tc>
          <w:tcPr>
     </w:tcPr>
          <w:p>
            <w:pPr>
              <w:pStyle w:val="EMPTY_CELL_STYLE"/>
            </w:pPr>
          </w:p>
        </w:tc>
      </w:tr>
      <w:tr>
        <w:trPr>
          <w:trHeight w:hRule="exact" w:val="16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2840"/>
        <w:gridCol w:w="460"/>
        <w:gridCol w:w="20"/>
        <w:gridCol w:w="2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7"/>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7"/>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产品9K219158自起息日以来，累计净值增长率为5.8090%，年化累计净值增长率为4.7328%。</w:t>
              <w:br/>
              <w:t xml:space="preserve">产品9K219258自起息日以来，累计净值增长率为5.9380%，年化累计净值增长率为4.8379%。</w:t>
              <w:br/>
              <w:t xml:space="preserve">报告期末，产品净值表现具体如下：</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400"/>
        </w:trPr>
        <w:tc>
          <w:tcPr>
     </w:tcPr>
          <w:p>
            <w:pPr>
              <w:pStyle w:val="EMPTY_CELL_STYLE"/>
            </w:pPr>
          </w:p>
        </w:tc>
        <w:tc>
          <w:tcPr>
     </w:tcPr>
          <w:p>
            <w:pPr>
              <w:pStyle w:val="EMPTY_CELL_STYLE"/>
            </w:pPr>
          </w:p>
        </w:tc>
        <w:tc>
          <w:tcPr>
     </w:tcPr>
          <w:p>
            <w:pPr>
              <w:pStyle w:val="EMPTY_CELL_STYLE"/>
            </w:pPr>
          </w:p>
        </w:tc>
        <w:tc>
          <w:tcPr>
            <w:gridSpan w:val="7"/>
            <w:tcMar>
              <w:top w:w="0" w:type="dxa"/>
              <w:left w:w="0" w:type="dxa"/>
              <w:bottom w:w="0" w:type="dxa"/>
              <w:right w:w="0" w:type="dxa"/>
            </w:tcMar>
          </w:tcPr>
          <w:tbl>
            <w:tblPr>
              <w:tblLayout w:type="fixed"/>
            </w:tblPr>
            <w:tblGrid>
              <w:gridCol w:w="1800"/>
              <w:gridCol w:w="2000"/>
              <w:gridCol w:w="2400"/>
              <w:gridCol w:w="2200"/>
              <w:gridCol w:w="23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估值日期</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产品份额净值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产品累计净值</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产品资产净值</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1.05833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1.05833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3,548,004,042.09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9K219158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1.05809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1.05809</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2,883,667,003.59</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9K219258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000"/>
                    <w:gridCol w:w="2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2021年9月30日</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400"/>
                    <w:gridCol w:w="24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1.05938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300"/>
                    <w:gridCol w:w="23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664,337,038.50</w:t>
                        </w:r>
                      </w:p>
                    </w:tc>
                  </w:tr>
                </w:tbl>
                <w:p>
                  <w:pPr>
                    <w:pStyle w:val="EMPTY_CELL_STYLE"/>
                  </w:pPr>
                </w:p>
              </w:tc>
            </w:tr>
          </w:tbl>
          <w:p>
            <w:pPr>
              <w:pStyle w:val="EMPTY_CELL_STYLE"/>
            </w:pPr>
          </w:p>
        </w:tc>
        <w:tc>
          <w:tcPr>
     </w:tcPr>
          <w:p>
            <w:pPr>
              <w:pStyle w:val="EMPTY_CELL_STYLE"/>
            </w:pPr>
          </w:p>
        </w:tc>
      </w:tr>
      <w:tr>
        <w:trPr>
          <w:trHeight w:hRule="exact" w:val="5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8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姜锡峰先生，上海财经大学管理学硕士，2020年加入兴业银行，金融从业10年，曾历任长信基金基金经理、浦银安盛基金基金经理助理、湘财证券债券研究员，现任兴业银行资产管理事业部多资产投资经理。</w:t>
            </w:r>
          </w:p>
        </w:tc>
        <w:tc>
          <w:tcPr>
     </w:tcPr>
          <w:p>
            <w:pPr>
              <w:pStyle w:val="EMPTY_CELL_STYLE"/>
            </w:pPr>
          </w:p>
        </w:tc>
        <w:tc>
          <w:tcPr>
     </w:tcPr>
          <w:p>
            <w:pPr>
              <w:pStyle w:val="EMPTY_CELL_STYLE"/>
            </w:pP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c>
          <w:tcPr>
     </w:tcPr>
          <w:p>
            <w:pPr>
              <w:pStyle w:val="EMPTY_CELL_STYLE"/>
            </w:pP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240"/>
        </w:trPr>
        <w:tc>
          <w:tcPr>
     </w:tcPr>
          <w:p>
            <w:pPr>
              <w:pStyle w:val="EMPTY_CELL_STYLE"/>
            </w:pPr>
          </w:p>
        </w:tc>
        <w:tc>
          <w:tcPr>
            <w:gridSpan w:val="7"/>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2021年三季度，国内经济增速回落，通胀加速上行。政策方面，货币政策较为宽松。在降准政策的支持下，银行间资金利率明显回落。债市方面，债券市场收益下行为主。股市方面，结构性行情较为明显，成长股、周期股、可转债表现较好，消费股、医药股、金融股表现较差。本报告期内，本组合减持了部分消费类基金和金融类基金，增持了可转债基金和二级债基，有效增厚了组合收益。</w:t>
              <w:br/>
              <w:t xml:space="preserve">    展望2021年四季度，经济回落概率较大，但通胀有较大压力。货币政策方面，预计会延续宽松。综合来看，债券趋势性机会仍可能延续，但配置价值一般，需要兼顾防守。权益层面，我们认为没有大的风险，会维持中高仓位的策略。</w:t>
              <w:br/>
              <w:t xml:space="preserve">    从子板块而言，信用债调整的风险远大于利率品种，组合倾向于配置高等级信用和利率品种。权益层面，预计三季度以来极致的风格可能会弱化，组合配置的权益结构会倾向于均衡。下一阶段，我们将继续保持审慎严谨的态度，进一步优化投资组合，争取为投资人提供稳健的投资收益。</w:t>
            </w:r>
          </w:p>
        </w:tc>
        <w:tc>
          <w:tcPr>
     </w:tcPr>
          <w:p>
            <w:pPr>
              <w:pStyle w:val="EMPTY_CELL_STYLE"/>
            </w:pPr>
          </w:p>
        </w:tc>
        <w:tc>
          <w:tcPr>
     </w:tcPr>
          <w:p>
            <w:pPr>
              <w:pStyle w:val="EMPTY_CELL_STYLE"/>
            </w:pPr>
          </w:p>
        </w:tc>
        <w:tc>
          <w:tcPr>
     </w:tcPr>
          <w:p>
            <w:pPr>
              <w:pStyle w:val="EMPTY_CELL_STYLE"/>
            </w:pPr>
          </w:p>
        </w:tc>
      </w:tr>
      <w:tr>
        <w:trPr>
          <w:trHeight w:hRule="exact" w:val="5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7"/>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7"/>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c>
          <w:tcPr>
     </w:tcPr>
          <w:p>
            <w:pPr>
              <w:pStyle w:val="EMPTY_CELL_STYLE"/>
            </w:pPr>
          </w:p>
        </w:tc>
      </w:tr>
      <w:tr>
        <w:trPr>
          <w:trHeight w:hRule="exact" w:val="9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20"/>
        <w:gridCol w:w="3360"/>
        <w:gridCol w:w="2000"/>
        <w:gridCol w:w="2000"/>
        <w:gridCol w:w="3300"/>
        <w:gridCol w:w="2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800"/>
        </w:trPr>
        <w:tc>
          <w:tcPr>
     </w:tcPr>
          <w:p>
            <w:pPr>
              <w:pStyle w:val="EMPTY_CELL_STYLE"/>
            </w:pPr>
          </w:p>
        </w:tc>
        <w:tc>
          <w:tcPr>
     </w:tcPr>
          <w:p>
            <w:pPr>
              <w:pStyle w:val="EMPTY_CELL_STYLE"/>
            </w:pPr>
          </w:p>
        </w:tc>
        <w:tc>
          <w:tcPr>
            <w:gridSpan w:val="6"/>
            <w:shd w:val="clear" w:color="auto" w:fill="FFFFFF"/>
            <w:tcMar>
              <w:top w:w="0" w:type="dxa"/>
              <w:left w:w="0" w:type="dxa"/>
              <w:bottom w:w="0" w:type="dxa"/>
              <w:right w:w="0" w:type="dxa"/>
            </w:tcMar>
          </w:tcPr>
          <w:tbl>
            <w:tblPr>
              <w:tblLayout w:type="fixed"/>
            </w:tblPr>
            <w:tblGrid>
              <w:gridCol w:w="1000"/>
              <w:gridCol w:w="2600"/>
              <w:gridCol w:w="4000"/>
              <w:gridCol w:w="31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直接投资占比（%）</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间接投资占比（%）</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1.17</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27.14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权益投资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0.55</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公募基金</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28.84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非标准化债权类资产</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38.44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38.44</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4.48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报告期末本产品总资产未超过该产品净资产规模的200%，符合产品协议对本产品杠杆比例的要求。</w:t>
            </w: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6"/>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主要来自于若投资品种所处的交易市场不活跃，可能带来资产变现困难或产品持仓资产在市场出现剧烈波动的情况下难以以合理价格变现的风险。</w:t>
              <w:br/>
              <w:t xml:space="preserve">    为防范无法支付到期赎回款而产生的流动性风险，本理财产品管理人将合理安排所投资产期限，产品到期前完成所投资组合中相关资产变现，尽可能降低产品流动性风险，有效保障理财持有人利益。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c>
          <w:tcPr>
     </w:tcPr>
          <w:p>
            <w:pPr>
              <w:pStyle w:val="EMPTY_CELL_STYLE"/>
            </w:pPr>
          </w:p>
        </w:tc>
      </w:tr>
      <w:tr>
        <w:trPr>
          <w:trHeight w:hRule="exact" w:val="5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r>
      <w:tr>
        <w:trPr>
          <w:trHeight w:hRule="exact" w:val="3640"/>
        </w:trPr>
        <w:tc>
          <w:tcPr>
     </w:tcPr>
          <w:p>
            <w:pPr>
              <w:pStyle w:val="EMPTY_CELL_STYLE"/>
            </w:pPr>
          </w:p>
        </w:tc>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20闽漳州城投ZR001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14.09</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20贵水投水务ZR001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20晋能集团ZR003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8.46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云南信托-（珠海九洲控股集团有限公司 广州分行）</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7.61</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20晋能集团002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5.64</w:t>
                        </w:r>
                      </w:p>
                    </w:tc>
                  </w:tr>
                </w:tbl>
                <w:p>
                  <w:pPr>
                    <w:pStyle w:val="EMPTY_CELL_STYLE"/>
                  </w:pPr>
                </w:p>
              </w:tc>
            </w:tr>
          </w:tbl>
          <w:p>
            <w:pPr>
              <w:pStyle w:val="EMPTY_CELL_STYLE"/>
            </w:pPr>
          </w:p>
        </w:tc>
        <w:tc>
          <w:tcPr>
     </w:tcPr>
          <w:p>
            <w:pPr>
              <w:pStyle w:val="EMPTY_CELL_STYLE"/>
            </w:pPr>
          </w:p>
        </w:tc>
      </w:tr>
      <w:tr>
        <w:trPr>
          <w:trHeight w:hRule="exact" w:val="3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160"/>
        <w:gridCol w:w="3200"/>
        <w:gridCol w:w="2000"/>
        <w:gridCol w:w="2000"/>
        <w:gridCol w:w="3300"/>
        <w:gridCol w:w="4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6"/>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景顺长城鼎安1号集合资产管理计划</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180,433,039.29</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5.16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易方达裕祥回报 ( 002351.OF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107,070,348.55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易方达安心回报A ( 110027.OF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50,843,829.37</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3.06</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汇添富可转债A ( 470058.OF )</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49,649,232.26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2.74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20农发10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80,000,000.00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2.34</w:t>
                        </w:r>
                      </w:p>
                    </w:tc>
                  </w:tr>
                </w:tbl>
                <w:p>
                  <w:pPr>
                    <w:pStyle w:val="EMPTY_CELL_STYLE"/>
                  </w:pPr>
                </w:p>
              </w:tc>
            </w:tr>
          </w:tbl>
          <w:p>
            <w:pPr>
              <w:pStyle w:val="EMPTY_CELL_STYLE"/>
            </w:pPr>
          </w:p>
        </w:tc>
        <w:tc>
          <w:tcPr>
     </w:tcPr>
          <w:p>
            <w:pPr>
              <w:pStyle w:val="EMPTY_CELL_STYLE"/>
            </w:pPr>
          </w:p>
        </w:tc>
      </w:tr>
      <w:tr>
        <w:trPr>
          <w:trHeight w:hRule="exact" w:val="3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c>
          <w:tcPr>
     </w:tcPr>
          <w:p>
            <w:pPr>
              <w:pStyle w:val="EMPTY_CELL_STYLE"/>
            </w:pPr>
          </w:p>
        </w:tc>
      </w:tr>
      <w:tr>
        <w:trPr>
          <w:trHeight w:hRule="exact" w:val="6000"/>
        </w:trPr>
        <w:tc>
          <w:tcPr>
     </w:tcPr>
          <w:p>
            <w:pPr>
              <w:pStyle w:val="EMPTY_CELL_STYLE"/>
            </w:pPr>
          </w:p>
        </w:tc>
        <w:tc>
          <w:tcPr>
            <w:gridSpan w:val="6"/>
            <w:tcMar>
              <w:top w:w="0" w:type="dxa"/>
              <w:left w:w="0" w:type="dxa"/>
              <w:bottom w:w="0" w:type="dxa"/>
              <w:right w:w="0" w:type="dxa"/>
            </w:tcMar>
          </w:tcPr>
          <w:tbl>
            <w:tblPr>
              <w:tblLayout w:type="fixed"/>
            </w:tblPr>
            <w:tblGrid>
              <w:gridCol w:w="1800"/>
              <w:gridCol w:w="3000"/>
              <w:gridCol w:w="2800"/>
              <w:gridCol w:w="3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20兴信02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兴业国信资产管理有限公司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20湖北租赁债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20胶州湾MTN001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20伊犁财通MTN001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20榆林能源MTN001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20芙蓉城投MTN001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21南通经开MTN002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21常德经建MTN001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7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9K219058</w:t>
                        </w:r>
                      </w:p>
                    </w:tc>
                    <w:tc>
                      <w:tcPr>
     </w:tcPr>
                      <w:p>
                        <w:pPr>
                          <w:pStyle w:val="EMPTY_CELL_STYLE"/>
                        </w:pP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21海沧投资MTN001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600"/>
              <w:gridCol w:w="2200"/>
              <w:gridCol w:w="2200"/>
              <w:gridCol w:w="1800"/>
              <w:gridCol w:w="29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5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产品代码</w:t>
                        </w:r>
                      </w:p>
                    </w:tc>
                    <w:tc>
                      <w:tcPr>
     </w:tcPr>
                      <w:p>
                        <w:pPr>
                          <w:pStyle w:val="EMPTY_CELL_STYLE"/>
                        </w:pP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800"/>
                    <w:gridCol w:w="1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900"/>
                    <w:gridCol w:w="29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6"/>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9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兴业银行天天万利宝稳利5号净值型理财产品P款2021年第三季度报告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051010100100875474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兴业理财托管专户天天万利宝稳利5号净值型P款</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2021年10月27日</w:t>
            </w:r>
          </w:p>
        </w:tc>
        <w:tc>
          <w:tcPr>
     </w:tcPr>
          <w:p>
            <w:pPr>
              <w:pStyle w:val="EMPTY_CELL_STYLE"/>
            </w:pPr>
          </w:p>
        </w:tc>
        <w:tc>
          <w:tcPr>
     </w:tcPr>
          <w:p>
            <w:pPr>
              <w:pStyle w:val="EMPTY_CELL_STYLE"/>
            </w:pPr>
          </w:p>
        </w:tc>
      </w:tr>
      <w:tr>
        <w:trPr>
          <w:trHeight w:hRule="exact" w:val="11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