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29,979,557,106.67份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6,637,816,091.32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1,734,166,791.55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21,607,574,223.80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产品9K219172自起息日以来，累计净值增长率为4.6090%，年化累计净值增长率为3.6178%。</w:t>
              <w:br/>
              <w:t xml:space="preserve">产品9K219372自起息日以来，累计净值增长率为4.5080%，年化累计净值增长率为3.7227%。</w:t>
              <w:br/>
              <w:t xml:space="preserve">产品9K219472自起息日以来，累计净值增长率为1.4970%，年化累计净值增长率为3.1954%。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30,687,252,510.16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6,943,785,642.15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1,812,346,500.44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21,931,120,367.57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4,890,257,841.54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京-同业借款20191226006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682,554,914.50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19沪港务MTN001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20北京银行小微债02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