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兴银理财增盈优选18号净值型理财产品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927,213,164.87份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670,918,574.76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增盈优选18号B(私行专属)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256,294,590.11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产品9K220928自起息日以来，累计净值增长率为3.1260%，年化累计净值增长率为5.3820%。</w:t>
              <w:br/>
              <w:t xml:space="preserve">产品9K220938自起息日以来，累计净值增长率为3.1860%，年化累计净值增长率为5.4853%。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956,354,644.77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691,894,371.71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264,460,273.06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三季度，国内经济基本面开始转弱，国内货币政策超预期降准，跨周期调节催使债券收益率快速探底，并在底部徘徊。A股在三季度结构性行情特征明显，新能源汽车产业链，半导体，光伏，风电等轮番上涨，带动股市长期成交活跃。本报告期内，本组合积极对权益资产择机做多并增配了光伏ETF等品种，在结构性行情中把握住了机会，但之后调整时也不可避免降低了浮盈。同时本组合根据债券市场期限结构及各利差变化情况，在控制整体久期及信用风险的前提下，积极主动择优配置各类债券类属子资产中相对高收益部分，并在季末降低了杠杆。</w:t>
              <w:br/>
              <w:t xml:space="preserve">    展望四季度，国内整体经济走势进一步疲软，进出口也将有所回落。海外能源矛盾加剧，原油价格攀至金融危机后新高，疫情对全球的影响将成为长期变量。据此判断，虽然海外美国Tapper大概率在年末开始，但对国内影响轻微，我国提前降准后政策周期将较少受海外影响。影响股价的可能是各行业的盈利增速。债券收益率则可能面临震荡上行的局面，但可能空间有限。本组合将积极主动管理好大类资产的配置策略并精细化选择类属资产，对权益类资产择优左侧布局，债券类资产降低久期和杠杆，保持收益稳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[厦门信托-漳龙集团兴漳一号类永续信托贷款]单一资金信托（漳州分行）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39,678,603.31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21HBST01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21扬州01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工银瑞信新得益(002006.OF)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19,283,512.00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兴业聚鑫灵活配置混合型投资基金（002498）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14,460,592.91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19空港兴城MTN001B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兴银理财增盈优选18号净值型理财产品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