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兴银理财增盈优选23号净值型理财产品</w:t>
              <w:br/>
              <w:t xml:space="preserve">2021年第三季度报告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报告送出日期：2021年10月27日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兴银理财增盈优选23号净值型理财产品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9K221023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922,164,611.73份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4.40%-6.00%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增盈优选23号A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9K221123</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693,039,444.42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增盈优选23号B（私行专属）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9K221223</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229,125,167.31</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产品9K221123自起息日以来，累计净值增长率为1.2980%，年化累计净值增长率为4.1927%。</w:t>
              <w:br/>
              <w:t xml:space="preserve">产品9K221223自起息日以来，累计净值增长率为1.3300%，年化累计净值增长率为4.2960%。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934,208,002.53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702,035,373.51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9K221223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232,172,629.02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9年固收、权益投资交易经验，2年固收分析工具设计开发经验。历任万家基金管理有限公司股票交易员、债券交易员、交易部副总监、基金经理。森浦资讯固收专家。2020年7月加入兴业银行理财子公司，现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2021年第三季度，国内经济基本面逐月下滑，外需成为支撑经济的主力。其中地产的约束环境持续，出现个别房企的信用风险。PPI持续高企，压力逐步向下游传导。海外经济落后我国一个季度左右而相继复苏。全球疫情得到控制后，全球流动性及供需缺口的修复成为市场关注焦点。目前看消费国的需求复苏远强于生产国的生产复苏，叠加疫情对全球物流链的破坏，全球出现能源价格的暴涨，类滞胀隐现。国内外货币政策维持稳定依然易松难紧。资本市场走势如二季度预判，A股震荡走势，行业差异及快速轮动越发明显。债券市场则在超预期的监管政策影响下震荡分化，信用利差小幅走高。本报告期内，本组合积极对权益资产择机做多并做好了行业再平衡，避免了较大的波动。同时本组合根据债券市场期限结构及各利差变化情况，在控制整体久期及信用风险的前提下，积极主动择优配置各类债券类属子资产。</w:t>
              <w:br/>
              <w:t xml:space="preserve">    展望四季度，国内整体经济复苏内生动力偏弱，总需求复苏缓慢，大概率会有刺激政策及配套的宽松货币环境。海外疫情对全球的影响时间将继续延长，意味着复苏都比较脆弱且缓慢，供需缺口维持。美联储面临通胀压力和经济复苏的两难选择。A股方面，影响股价的可能是各行业的盈利增速，则行业差异及轮动的可能性更大了，看好新基建、绿电等长期需求向上的行业。叠加考虑到目前的股债风险溢价率及股债分别的估值情况，未来权益存在更多结构性轮动的机会，债券依然可能震荡上行但空间有限，商品价格可能见顶，商品组合间套利空间增大。本组合将积极主动管理好大类资产的配置策略并精细化选择类属资产。</w:t>
            </w: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其他标准化债权资产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21青岛融控03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17晋路桥MTN001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21成都高新MTN001A</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20甘国投MTN002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4.24</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18海尔金控MTN001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20孝感城投MTN002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20扬城建PPN001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汇添富双利A ( 470018.OF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11,150,034.35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19甘交建MTN002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20扬城建PPN001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20甘国投MTN002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18海尔金控MTN001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19徐州高新MTN001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20临空港投MTN002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20南平武夷MTN001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20常德城投MTN001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20浦口康居MTN005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20漳州城投PPN001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20黄石众邦MTN001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21南京医药MTN001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21成都高新MTN001A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051010100101214073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兴银理财增盈优选23号净值型理财产品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2021年10月27日</w:t>
            </w:r>
          </w:p>
        </w:tc>
        <w:tc>
          <w:tcPr>
     </w:tcPr>
          <w:p>
            <w:pPr>
              <w:pStyle w:val="EMPTY_CELL_STYLE"/>
            </w:pPr>
          </w:p>
        </w:tc>
        <w:tc>
          <w:tcPr>
     </w:tcPr>
          <w:p>
            <w:pPr>
              <w:pStyle w:val="EMPTY_CELL_STYLE"/>
            </w:pPr>
          </w:p>
        </w:tc>
      </w:tr>
      <w:tr>
        <w:trPr>
          <w:trHeight w:hRule="exact" w:val="5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