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兴银理财ESG兴动未来1号净值型理财产品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兴银理财ESG兴动未来1号净值型理财产品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9K221501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813,595,609.55份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产品9K221501自起息日以来，累计净值增长率为1.4040%，年化累计净值增长率为5.4517%。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825,017,528.04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层面，三季度市经济快速下行，通胀压力陡增，市场层面，商品市场气势如虹，权益市场整体震荡，受降准预期影响，债券收益率快速下行后反弹，组合处于建仓初期，为平抑波动，采用高仓位债券资产，久期1.5-2年，滞涨阶段适度降低权益仓位，结构中，向高景气赛道绿色产业（即新能源、储能、光伏）倾斜，适当配置周期价值等低估值板块，提升组合胜率。</w:t>
              <w:br/>
              <w:t xml:space="preserve">    四季度，预计经济仍处于滞涨期，债券会市场出现进一步调整时加仓，提升组合久期，计划在滞涨后期、衰退早中，权益仓位缓步提升，结构上，略增加消费仓位，适度均衡。</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42,347,759.80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21旭辉02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21宝龙MTN001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21晋路桥SCP002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21海安开投SCP002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