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兴银理财万汇通2号A款美元净值型理财产品2021年第三季度报告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兴银理财万汇通2号A款美元净值型理财产品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兴银理财万汇通2号A款美元净值型理财产品2021年第三季度报告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兴银理财万汇通2号A款美元净值型理财产品2021年第三季度报告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兴银理财万汇通2号A款美元净值型理财产品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Z7002021000037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29,615,003.47份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1.60%-2.30%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万汇通汇盈2号A款A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9W210211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18,664,760.68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万汇通汇盈2号A款B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9W210212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10,950,242.79</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兴银理财万汇通2号A款美元净值型理财产品2021年第三季度报告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产品9W210211自起息日以来，累计净值增长率为1.7480%，年化累计净值增长率为3.3404%。</w:t>
              <w:br/>
              <w:t xml:space="preserve">产品9W210212自起息日以来，累计净值增长率为1.7750%，年化累计净值增长率为3.3920%。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30,135,678.25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18,991,087.16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11,144,591.09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十年以上金融从业经验，2008年加入兴业银行，先后从事自营投资（固收交易、非标投资、外币债券投资）8年和资管投资（外币理财）4年。擅长跨市场套利、境外债信用价值挖掘，对境内外市场均有丰富的投资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三季度短期限无风险收益率小幅上行，产品组合期限1-2年，对应此期限无风险收益率上行2bp左右，信用利差缩窄明显，约10-15bp，整体而言债券价格较季度初上涨。组合资产浮盈较多，净值稳定上行。三季度产品表现超过业绩基准上限。</w:t>
              <w:br/>
              <w:t xml:space="preserve">    三季度投资经理将价格高位央企债券减持，以增持地方城投/国企为主，同时出于对四季度联储缩表的担忧，严格控制组合久期，并安排了一定规模的年底和明年上半年到期资产，增加组合在缩表敏感时点择机配置的灵活性。</w:t>
              <w:br/>
              <w:br/>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兴银理财万汇通2号A款美元净值型理财产品2021年第三季度报告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KMRLGP31/212/12/22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HNYUZI41/406/28/24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FRESHK25/803/03/24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CHADEC5.809/18/22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YWSOAO402/18/25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5.46</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兴银理财万汇通2号A款美元净值型理财产品2021年第三季度报告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GSHIAV31/206/10/24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w:t>
                        </w:r>
                      </w:p>
                    </w:tc>
                  </w:tr>
                </w:tbl>
                <w:p>
                  <w:pPr>
                    <w:pStyle w:val="EMPTY_CELL_STYLE"/>
                  </w:pPr>
                </w:p>
              </w:tc>
            </w:tr>
          </w:tbl>
          <w:p>
            <w:pPr>
              <w:pStyle w:val="EMPTY_CELL_STYLE"/>
            </w:pPr>
          </w:p>
        </w:tc>
        <w:tc>
          <w:tcPr>
     </w:tcPr>
          <w:p>
            <w:pPr>
              <w:pStyle w:val="EMPTY_CELL_STYLE"/>
            </w:pPr>
          </w:p>
        </w:tc>
      </w:tr>
      <w:tr>
        <w:trPr>
          <w:trHeight w:hRule="exact" w:val="1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216201400100271569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兴银理财万汇通2号A款美元净值型理财产品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3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