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兴银理财和鑫财富悦享1号K款净值型理财产品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兴银理财和鑫财富悦享1号K款净值型理财产品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9B214210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Z7002021A000186</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和鑫财富悦享1号K款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9B21421A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产品9B21421A自起息日以来，累计净值增长率为1.8060%，年化累计净值增长率为4.6422%。</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509,028,695.04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509,028,695.04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资深固定收益投资经理，累计管理规模700亿。现任兴银理财专户投资部高级投资经理，拟任短债开放式产品投资经理。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19南昌工业MTN002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30,203,310.00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30,162,758.14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30,144,390.00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30,047,451.94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29,999,996.19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051010100101242375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