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兴业银行天天万利宝稳利6号K款净值型理财产品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兴业银行天天万利宝稳利6号K款净值型理财产品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9K209150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Z7002021000103</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2,804,756,602.14份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2,804,756,602.14</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产品9K20915A自起息日以来，累计净值增长率为2.6090%，年化累计净值增长率为3.8399%。</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2,847,674,334.97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2,847,674,334.97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Z深-同业借款20211028001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611,877,207.64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138,425,140.00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70,824,600.00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G19安租1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70,301,910.00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50,321,250.00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21杭州国资MTN001(权益出资)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19柳钢集团MTN002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21武商贸集MTN002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21海发集团SCP003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