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兴业银行天天万利宝稳利6号M款净值型理财产品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兴业银行天天万利宝稳利6号M款净值型理财产品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9K209170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1,800,026,084.4份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1,800,026,084.40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产品9K20917A自起息日以来，累计净值增长率为3.4880%，年化累计净值增长率为5.3492%。</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1,862,813,721.92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1,862,813,721.92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90,888,030.00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90,568,350.00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60,119,400.00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59,326,200.00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21硚口国资MTN001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50,543,550.00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