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1"/>
        <w:gridCol w:w="259"/>
        <w:gridCol w:w="1"/>
      </w:tblGrid>
      <w:tr>
        <w:trPr>
          <w:gridAfter w:val="6"/>
          <w:wAfter w:w="300" w:type="dxa"/>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gridAfter w:val="6"/>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兴业银行添利5号净值型理财产品2021年第四季度报告</w:t>
            </w:r>
          </w:p>
        </w:tc>
        <w:tc>
          <w:p>
            <w:pPr>
              <w:pStyle w:val="4"/>
            </w:pPr>
          </w:p>
        </w:tc>
      </w:tr>
      <w:tr>
        <w:tblPrEx>
          <w:tblCellMar>
            <w:top w:w="0" w:type="dxa"/>
            <w:left w:w="10" w:type="dxa"/>
            <w:bottom w:w="0" w:type="dxa"/>
            <w:right w:w="10" w:type="dxa"/>
          </w:tblCellMar>
        </w:tblPrEx>
        <w:trPr>
          <w:gridAfter w:val="6"/>
          <w:wAfter w:w="30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gridAfter w:val="6"/>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6"/>
          <w:wAfter w:w="30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6"/>
          <w:wAfter w:w="30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兴业银行添利5号净值型理财产品</w:t>
            </w:r>
            <w:r>
              <w:rPr>
                <w:rFonts w:ascii="宋体" w:hAnsi="宋体" w:eastAsia="宋体" w:cs="宋体"/>
                <w:b/>
                <w:color w:val="000000"/>
                <w:sz w:val="32"/>
              </w:rPr>
              <w:br w:type="textWrapping"/>
            </w:r>
            <w:r>
              <w:rPr>
                <w:rFonts w:ascii="宋体" w:hAnsi="宋体" w:eastAsia="宋体" w:cs="宋体"/>
                <w:b/>
                <w:color w:val="000000"/>
                <w:sz w:val="32"/>
              </w:rPr>
              <w:t>2021年第四季度报告</w:t>
            </w:r>
          </w:p>
        </w:tc>
        <w:tc>
          <w:p>
            <w:pPr>
              <w:pStyle w:val="4"/>
            </w:pPr>
          </w:p>
        </w:tc>
      </w:tr>
      <w:tr>
        <w:tblPrEx>
          <w:tblCellMar>
            <w:top w:w="0" w:type="dxa"/>
            <w:left w:w="10" w:type="dxa"/>
            <w:bottom w:w="0" w:type="dxa"/>
            <w:right w:w="10" w:type="dxa"/>
          </w:tblCellMar>
        </w:tblPrEx>
        <w:trPr>
          <w:gridAfter w:val="6"/>
          <w:wAfter w:w="30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gridAfter w:val="6"/>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报告送出日期：2022年1月24日</w:t>
            </w:r>
          </w:p>
        </w:tc>
        <w:tc>
          <w:tcPr>
            <w:gridSpan w:val="3"/>
          </w:tcPr>
          <w:p>
            <w:pPr>
              <w:pStyle w:val="4"/>
            </w:pPr>
          </w:p>
        </w:tc>
        <w:tc>
          <w:p>
            <w:pPr>
              <w:pStyle w:val="4"/>
            </w:pPr>
          </w:p>
        </w:tc>
      </w:tr>
      <w:tr>
        <w:trPr>
          <w:gridAfter w:val="6"/>
          <w:wAfter w:w="30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gridAfter w:val="6"/>
          <w:wAfter w:w="30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6"/>
          <w:wAfter w:w="30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兴业银行添利5号净值型理财产品2021年第四季度报告</w:t>
            </w:r>
          </w:p>
        </w:tc>
        <w:tc>
          <w:p>
            <w:pPr>
              <w:pStyle w:val="4"/>
            </w:pPr>
          </w:p>
        </w:tc>
      </w:tr>
      <w:tr>
        <w:tblPrEx>
          <w:tblCellMar>
            <w:top w:w="0" w:type="dxa"/>
            <w:left w:w="10" w:type="dxa"/>
            <w:bottom w:w="0" w:type="dxa"/>
            <w:right w:w="10" w:type="dxa"/>
          </w:tblCellMar>
        </w:tblPrEx>
        <w:trPr>
          <w:gridAfter w:val="6"/>
          <w:wAfter w:w="30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rPr>
          <w:gridAfter w:val="6"/>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6"/>
          <w:wAfter w:w="30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rPr>
          <w:gridAfter w:val="6"/>
          <w:wAfter w:w="30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0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rPr>
          <w:gridAfter w:val="6"/>
          <w:wAfter w:w="30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0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rPr>
          <w:gridAfter w:val="6"/>
          <w:wAfter w:w="30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tcPr>
            <w:gridSpan w:val="2"/>
          </w:tcPr>
          <w:p>
            <w:pPr>
              <w:pStyle w:val="4"/>
            </w:pPr>
          </w:p>
        </w:tc>
        <w:tc>
          <w:p>
            <w:pPr>
              <w:pStyle w:val="4"/>
            </w:pPr>
          </w:p>
        </w:tc>
      </w:tr>
      <w:tr>
        <w:trPr>
          <w:gridAfter w:val="6"/>
          <w:wAfter w:w="30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兴业银行添利5号净值型理财产品2021年第四季度报告</w:t>
            </w:r>
          </w:p>
        </w:tc>
        <w:tc>
          <w:p>
            <w:pPr>
              <w:pStyle w:val="4"/>
            </w:pPr>
          </w:p>
        </w:tc>
      </w:tr>
      <w:tr>
        <w:trPr>
          <w:gridAfter w:val="6"/>
          <w:wAfter w:w="30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6"/>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rPr>
          <w:gridAfter w:val="6"/>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rPr>
          <w:gridAfter w:val="6"/>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rPr>
          <w:gridAfter w:val="6"/>
          <w:wAfter w:w="30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6"/>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rPr>
          <w:gridAfter w:val="6"/>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6"/>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兴业银行添利5号净值型理财产品</w:t>
            </w: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9B319021</w:t>
            </w: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Z7002020000004</w:t>
            </w: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9,592,701,805.58份</w:t>
            </w: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6"/>
          <w:wAfter w:w="300" w:type="dxa"/>
          <w:trHeight w:val="34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p>
            <w:pPr>
              <w:pStyle w:val="4"/>
            </w:pPr>
          </w:p>
        </w:tc>
      </w:tr>
      <w:tr>
        <w:trPr>
          <w:gridAfter w:val="6"/>
          <w:wAfter w:w="30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rPr>
          <w:gridAfter w:val="6"/>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兴业银行添利5号净值型理财产品2021年第四季度报告</w:t>
            </w:r>
          </w:p>
        </w:tc>
        <w:tc>
          <w:p>
            <w:pPr>
              <w:pStyle w:val="4"/>
            </w:pPr>
          </w:p>
        </w:tc>
      </w:tr>
      <w:tr>
        <w:trPr>
          <w:gridAfter w:val="6"/>
          <w:wAfter w:w="30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6"/>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6"/>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6"/>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rPr>
          <w:gridAfter w:val="6"/>
          <w:wAfter w:w="300" w:type="dxa"/>
          <w:trHeight w:val="400" w:hRule="atLeast"/>
        </w:trPr>
        <w:tc>
          <w:p>
            <w:pPr>
              <w:pStyle w:val="4"/>
            </w:pPr>
            <w:bookmarkStart w:id="8" w:name="_GoBack"/>
            <w:bookmarkEnd w:id="8"/>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报告期内，9B319021七日年化收益率均值2.9477%。同期业绩比较基准如下：</w:t>
            </w:r>
          </w:p>
        </w:tc>
        <w:tc>
          <w:p>
            <w:pPr>
              <w:pStyle w:val="4"/>
            </w:pPr>
          </w:p>
        </w:tc>
      </w:tr>
      <w:tr>
        <w:tblPrEx>
          <w:tblCellMar>
            <w:top w:w="0" w:type="dxa"/>
            <w:left w:w="10" w:type="dxa"/>
            <w:bottom w:w="0" w:type="dxa"/>
            <w:right w:w="10" w:type="dxa"/>
          </w:tblCellMar>
        </w:tblPrEx>
        <w:trPr>
          <w:gridAfter w:val="6"/>
          <w:wAfter w:w="300" w:type="dxa"/>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rPr>
          <w:gridAfter w:val="6"/>
          <w:wAfter w:w="30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2021-10-01至2021-12-31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rPr>
          <w:gridAfter w:val="6"/>
          <w:wAfter w:w="30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6"/>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6"/>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0.7883</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2.8570%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9,592,701,805.58</w:t>
            </w:r>
          </w:p>
        </w:tc>
        <w:tc>
          <w:p>
            <w:pPr>
              <w:pStyle w:val="4"/>
            </w:pPr>
          </w:p>
        </w:tc>
        <w:tc>
          <w:p>
            <w:pPr>
              <w:pStyle w:val="4"/>
            </w:pPr>
          </w:p>
        </w:tc>
      </w:tr>
      <w:tr>
        <w:tblPrEx>
          <w:tblCellMar>
            <w:top w:w="0" w:type="dxa"/>
            <w:left w:w="10" w:type="dxa"/>
            <w:bottom w:w="0" w:type="dxa"/>
            <w:right w:w="10" w:type="dxa"/>
          </w:tblCellMar>
        </w:tblPrEx>
        <w:trPr>
          <w:gridAfter w:val="6"/>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6"/>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6"/>
          <w:wAfter w:w="30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rPr>
          <w:gridAfter w:val="6"/>
          <w:wAfter w:w="300" w:type="dxa"/>
          <w:trHeight w:val="15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汪锦女士，上海财经大学经济学硕士，国际金融理财师（CFP），中级经济师职称。银行理财产品创设、投资从业11年。 2005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业银行添利5号净值型理财产品、兴业银行“现金宝4号”私人银行类人民币理财产品、兴银理财添利9号净值型理财产品和兴银理财添利10号净值型理财产品投资经理。</w:t>
            </w:r>
          </w:p>
        </w:tc>
        <w:tc>
          <w:p>
            <w:pPr>
              <w:pStyle w:val="4"/>
            </w:pPr>
          </w:p>
        </w:tc>
      </w:tr>
      <w:tr>
        <w:trPr>
          <w:gridAfter w:val="6"/>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rPr>
          <w:gridAfter w:val="6"/>
          <w:wAfter w:w="30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rPr>
          <w:gridAfter w:val="6"/>
          <w:wAfter w:w="300" w:type="dxa"/>
          <w:trHeight w:val="63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1、宏观经济及市场情况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r>
            <w:r>
              <w:rPr>
                <w:rFonts w:ascii="宋体" w:hAnsi="宋体" w:eastAsia="宋体" w:cs="宋体"/>
                <w:color w:val="000000"/>
                <w:sz w:val="21"/>
              </w:rPr>
              <w:br w:type="textWrapping"/>
            </w:r>
            <w:r>
              <w:rPr>
                <w:rFonts w:ascii="宋体" w:hAnsi="宋体" w:eastAsia="宋体" w:cs="宋体"/>
                <w:color w:val="000000"/>
                <w:sz w:val="21"/>
              </w:rP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期、内外部周期错位、全球疫情持续演变，国内债市面临诸多不确定性因素。22年债市可能呈现低幅震荡的格局，关注政策和基本面边际变化带来的投资机会。</w:t>
            </w:r>
            <w:r>
              <w:rPr>
                <w:rFonts w:ascii="宋体" w:hAnsi="宋体" w:eastAsia="宋体" w:cs="宋体"/>
                <w:color w:val="000000"/>
                <w:sz w:val="21"/>
              </w:rPr>
              <w:br w:type="textWrapping"/>
            </w:r>
            <w:r>
              <w:rPr>
                <w:rFonts w:ascii="宋体" w:hAnsi="宋体" w:eastAsia="宋体" w:cs="宋体"/>
                <w:color w:val="000000"/>
                <w:sz w:val="21"/>
              </w:rPr>
              <w:t>2、前期运作回顾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负债端规模受监管各规定的要求，总体呈现先增后降的走势。其中，同业现金管理产品添利5号降幅较大，年内完成了面向全渠道销售的改造，当前规模96亿元。零售现金管理产品添利9号于9月上千亿，四季度日均1100亿元；添利10号规模较小，四季度日均173亿元；现金宝4号于11月完成老转新改造，当前规模103亿元。</w:t>
            </w:r>
            <w:r>
              <w:rPr>
                <w:rFonts w:ascii="宋体" w:hAnsi="宋体" w:eastAsia="宋体" w:cs="宋体"/>
                <w:color w:val="000000"/>
                <w:sz w:val="21"/>
              </w:rPr>
              <w:br w:type="textWrapping"/>
            </w:r>
            <w:r>
              <w:rPr>
                <w:rFonts w:ascii="宋体" w:hAnsi="宋体" w:eastAsia="宋体" w:cs="宋体"/>
                <w:color w:val="000000"/>
                <w:sz w:val="21"/>
              </w:rPr>
              <w:t xml:space="preserve">    资产端，前三季度主要以买入并持有为主，品种依然集中于高评级信用债、同业存单等；四季度主要配合产品规模下降，卖出部分1-3M资产，释放浮盈同时产品提升了被动杠杆。</w:t>
            </w:r>
            <w:r>
              <w:rPr>
                <w:rFonts w:ascii="宋体" w:hAnsi="宋体" w:eastAsia="宋体" w:cs="宋体"/>
                <w:color w:val="000000"/>
                <w:sz w:val="21"/>
              </w:rPr>
              <w:br w:type="textWrapping"/>
            </w:r>
            <w:r>
              <w:rPr>
                <w:rFonts w:ascii="宋体" w:hAnsi="宋体" w:eastAsia="宋体" w:cs="宋体"/>
                <w:color w:val="000000"/>
                <w:sz w:val="21"/>
              </w:rPr>
              <w:t>3、后期投资策略</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c>
          <w:p>
            <w:pPr>
              <w:pStyle w:val="4"/>
            </w:pPr>
          </w:p>
        </w:tc>
      </w:tr>
      <w:tr>
        <w:trPr>
          <w:gridAfter w:val="4"/>
          <w:wAfter w:w="28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rPr>
          <w:gridAfter w:val="4"/>
          <w:wAfter w:w="28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22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下阶段本产品依然会保持安全性和流动性优先、兼顾收益性的稳健投资策略，深入研究分析债券市场收益率的变化趋势，综合考量各投资品种的风险收益特征，在此基础上制定科学有效的投资策略。</w:t>
            </w:r>
            <w:r>
              <w:rPr>
                <w:rFonts w:ascii="宋体" w:hAnsi="宋体" w:eastAsia="宋体" w:cs="宋体"/>
                <w:color w:val="000000"/>
                <w:sz w:val="21"/>
              </w:rPr>
              <w:br w:type="textWrapping"/>
            </w:r>
            <w:r>
              <w:rPr>
                <w:rFonts w:ascii="宋体" w:hAnsi="宋体" w:eastAsia="宋体" w:cs="宋体"/>
                <w:color w:val="000000"/>
                <w:sz w:val="21"/>
              </w:rPr>
              <w:t xml:space="preserve">    在具体操作上，关注市场调整机会，一季度国债地方债供给冲击、美债收益率上行等因素可能带来的扰动，防范降息落地后的市场反转，把握投资窗口期。流动性管理方面，一季度面临春节前和季度末两个关键时点，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p>
        </w:tc>
        <w:tc>
          <w:tcPr>
            <w:gridSpan w:val="2"/>
          </w:tcPr>
          <w:p>
            <w:pPr>
              <w:pStyle w:val="4"/>
            </w:pPr>
          </w:p>
        </w:tc>
        <w:tc>
          <w:p>
            <w:pPr>
              <w:pStyle w:val="4"/>
            </w:pPr>
          </w:p>
        </w:tc>
      </w:tr>
      <w:tr>
        <w:trPr>
          <w:gridAfter w:val="4"/>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rPr>
          <w:gridAfter w:val="4"/>
          <w:wAfter w:w="28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4"/>
          <w:wAfter w:w="28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24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3200"/>
              <w:gridCol w:w="4000"/>
              <w:gridCol w:w="2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rPr>
          <w:gridAfter w:val="4"/>
          <w:wAfter w:w="280" w:type="dxa"/>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rPr>
          <w:gridAfter w:val="4"/>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5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rPr>
          <w:gridAfter w:val="4"/>
          <w:wAfter w:w="28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rPr>
          <w:gridAfter w:val="4"/>
          <w:wAfter w:w="280" w:type="dxa"/>
          <w:trHeight w:val="24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Z存放同业（线上）20211012004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Z存放同业（线上）20210917001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Z存放同业（线上）20210805003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3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rPr>
          <w:gridAfter w:val="4"/>
          <w:wAfter w:w="28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tcPr>
            <w:gridSpan w:val="2"/>
          </w:tcPr>
          <w:p>
            <w:pPr>
              <w:pStyle w:val="4"/>
            </w:pPr>
          </w:p>
        </w:tc>
        <w:tc>
          <w:p>
            <w:pPr>
              <w:pStyle w:val="4"/>
            </w:pPr>
          </w:p>
        </w:tc>
      </w:tr>
      <w:tr>
        <w:trPr>
          <w:gridAfter w:val="6"/>
          <w:wAfter w:w="30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rPr>
          <w:gridAfter w:val="6"/>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兴业银行添利5号净值型理财产品2021年第四季度报告</w:t>
            </w:r>
          </w:p>
        </w:tc>
        <w:tc>
          <w:p>
            <w:pPr>
              <w:pStyle w:val="4"/>
            </w:pPr>
          </w:p>
        </w:tc>
      </w:tr>
      <w:tr>
        <w:trPr>
          <w:gridAfter w:val="6"/>
          <w:wAfter w:w="30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rPr>
          <w:gridAfter w:val="6"/>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6"/>
          <w:wAfter w:w="300" w:type="dxa"/>
          <w:trHeight w:val="420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20进出12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409,415,476.59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21交通银行CD071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398,093,452.70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20农发07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299,255,008.49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21平安租赁SCP003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229,994,922.45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信元01A1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21广发09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6"/>
          <w:wAfter w:w="300" w:type="dxa"/>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6"/>
          <w:wAfter w:w="300" w:type="dxa"/>
          <w:trHeight w:val="90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19联发PPN003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19金川MTN001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21乌经开CP001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18赣国资MTN002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19晋焦煤MTN004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20津能源MTN001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20湖北租赁债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20闽电子MTN001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21华夏租赁债01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rPr>
          <w:gridAfter w:val="6"/>
          <w:wAfter w:w="300" w:type="dxa"/>
          <w:trHeight w:val="46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p>
            <w:pPr>
              <w:pStyle w:val="4"/>
            </w:pPr>
          </w:p>
        </w:tc>
      </w:tr>
      <w:tr>
        <w:trPr>
          <w:gridAfter w:val="2"/>
          <w:wAfter w:w="260" w:type="dxa"/>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兴业银行添利5号净值型理财产品2021年第四季度报告</w:t>
            </w: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rPr>
          <w:gridAfter w:val="2"/>
          <w:wAfter w:w="26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6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21湖北租赁债01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19海通恒信PPN001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20广州高新MTN001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20徐州新盛PPN001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21中广核租SCP002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21中航租赁MTN002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21柯桥国资MTN001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rPr>
          <w:gridAfter w:val="2"/>
          <w:wAfter w:w="260" w:type="dxa"/>
          <w:trHeight w:val="3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rPr>
          <w:gridAfter w:val="2"/>
          <w:wAfter w:w="260" w:type="dxa"/>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rPr>
          <w:gridAfter w:val="2"/>
          <w:wAfter w:w="26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rPr>
          <w:gridAfter w:val="2"/>
          <w:wAfter w:w="26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rPr>
          <w:gridAfter w:val="2"/>
          <w:wAfter w:w="260" w:type="dxa"/>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rPr>
          <w:gridAfter w:val="2"/>
          <w:wAfter w:w="260" w:type="dxa"/>
          <w:trHeight w:val="164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tcPr>
            <w:gridSpan w:val="4"/>
          </w:tcPr>
          <w:p>
            <w:pPr>
              <w:pStyle w:val="4"/>
            </w:pPr>
          </w:p>
        </w:tc>
        <w:tc>
          <w:p>
            <w:pPr>
              <w:pStyle w:val="4"/>
            </w:pPr>
          </w:p>
        </w:tc>
      </w:tr>
      <w:tr>
        <w:trPr>
          <w:trHeight w:val="0" w:hRule="atLeast"/>
        </w:trPr>
        <w:tc>
          <w:p>
            <w:pPr>
              <w:pStyle w:val="4"/>
              <w:pageBreakBefore/>
            </w:pPr>
            <w:bookmarkStart w:id="7" w:name="JR_PAGE_ANCHOR_0_8"/>
            <w:bookmarkEnd w:id="7"/>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p>
            <w:pPr>
              <w:pStyle w:val="4"/>
            </w:pPr>
          </w:p>
        </w:tc>
      </w:tr>
      <w:tr>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兴业银行添利5号净值型理财产品2021年第四季度报告</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p>
            <w:pPr>
              <w:pStyle w:val="4"/>
            </w:pPr>
          </w:p>
        </w:tc>
      </w:tr>
      <w:tr>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tcPr>
            <w:gridSpan w:val="2"/>
          </w:tcPr>
          <w:p>
            <w:pPr>
              <w:pStyle w:val="4"/>
            </w:pPr>
          </w:p>
        </w:tc>
        <w:tc>
          <w:p>
            <w:pPr>
              <w:pStyle w:val="4"/>
            </w:pPr>
          </w:p>
        </w:tc>
      </w:tr>
      <w:tr>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051010100100810699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兴业理财托管专户添利5号净值型理财产品</w:t>
                        </w:r>
                      </w:p>
                    </w:tc>
                  </w:tr>
                </w:tbl>
                <w:p>
                  <w:pPr>
                    <w:pStyle w:val="4"/>
                  </w:pPr>
                </w:p>
              </w:tc>
            </w:tr>
          </w:tbl>
          <w:p>
            <w:pPr>
              <w:pStyle w:val="4"/>
            </w:pPr>
          </w:p>
        </w:tc>
        <w:tc>
          <w:tcPr>
            <w:gridSpan w:val="2"/>
          </w:tcPr>
          <w:p>
            <w:pPr>
              <w:pStyle w:val="4"/>
            </w:pPr>
          </w:p>
        </w:tc>
        <w:tc>
          <w:p>
            <w:pPr>
              <w:pStyle w:val="4"/>
            </w:pPr>
          </w:p>
        </w:tc>
      </w:tr>
      <w:tr>
        <w:trPr>
          <w:trHeight w:val="56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rPr>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rPr>
          <w:trHeight w:val="600" w:hRule="exact"/>
        </w:trPr>
        <w:tc>
          <w:p>
            <w:pPr>
              <w:pStyle w:val="4"/>
            </w:pPr>
          </w:p>
        </w:tc>
        <w:tc>
          <w:tcPr>
            <w:gridSpan w:val="23"/>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rPr>
          <w:trHeight w:val="8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p>
            <w:pPr>
              <w:pStyle w:val="4"/>
            </w:pPr>
          </w:p>
        </w:tc>
      </w:tr>
      <w:tr>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tcPr>
            <w:gridSpan w:val="2"/>
          </w:tcPr>
          <w:p>
            <w:pPr>
              <w:pStyle w:val="4"/>
            </w:pPr>
          </w:p>
        </w:tc>
        <w:tc>
          <w:p>
            <w:pPr>
              <w:pStyle w:val="4"/>
            </w:pPr>
          </w:p>
        </w:tc>
      </w:tr>
      <w:tr>
        <w:trPr>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2022年1月24日</w:t>
            </w:r>
          </w:p>
        </w:tc>
        <w:tc>
          <w:tcPr>
            <w:gridSpan w:val="4"/>
          </w:tcPr>
          <w:p>
            <w:pPr>
              <w:pStyle w:val="4"/>
            </w:pPr>
          </w:p>
        </w:tc>
        <w:tc>
          <w:tcPr>
            <w:gridSpan w:val="2"/>
          </w:tcPr>
          <w:p>
            <w:pPr>
              <w:pStyle w:val="4"/>
            </w:pPr>
          </w:p>
        </w:tc>
        <w:tc>
          <w:p>
            <w:pPr>
              <w:pStyle w:val="4"/>
            </w:pPr>
          </w:p>
        </w:tc>
      </w:tr>
      <w:tr>
        <w:trPr>
          <w:trHeight w:val="1004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tcPr>
            <w:gridSpan w:val="4"/>
          </w:tcPr>
          <w:p>
            <w:pPr>
              <w:pStyle w:val="4"/>
            </w:pPr>
          </w:p>
        </w:tc>
        <w:tc>
          <w:tcPr>
            <w:gridSpan w:val="2"/>
          </w:tcPr>
          <w:p>
            <w:pPr>
              <w:pStyle w:val="4"/>
            </w:pPr>
          </w:p>
        </w:tc>
        <w:tc>
          <w:p>
            <w:pPr>
              <w:pStyle w:val="4"/>
            </w:pPr>
          </w:p>
        </w:tc>
      </w:tr>
    </w:tbl>
    <w:p/>
    <w:sectPr>
      <w:pgSz w:w="11900" w:h="16840"/>
      <w:pgMar w:top="600" w:right="3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089B44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2022-01-20T06:54:59Z</dcterms:created>
  <dc:creator>cib</dc:creator>
  <cp:lastModifiedBy>cib</cp:lastModifiedBy>
  <dcterms:modified xsi:type="dcterms:W3CDTF">2022-01-20T06:55:27Z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